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691207"/>
        <w:docPartObj>
          <w:docPartGallery w:val="Cover Pages"/>
          <w:docPartUnique/>
        </w:docPartObj>
      </w:sdtPr>
      <w:sdtEndPr>
        <w:rPr>
          <w:rFonts w:ascii="Book Antiqua" w:hAnsi="Book Antiqua" w:cs="Times New Roman"/>
          <w:b/>
          <w:bCs/>
        </w:rPr>
      </w:sdtEndPr>
      <w:sdtContent>
        <w:p w:rsidR="00A30C5F" w:rsidRDefault="00A30C5F" w:rsidP="00A30C5F">
          <w:pPr>
            <w:ind w:left="-720" w:right="-334"/>
          </w:pPr>
        </w:p>
        <w:p w:rsidR="00A30C5F" w:rsidRDefault="00D114DD" w:rsidP="003143AC">
          <w:pPr>
            <w:tabs>
              <w:tab w:val="left" w:pos="5910"/>
            </w:tabs>
            <w:ind w:left="-720"/>
          </w:pPr>
          <w:r w:rsidRPr="00D114DD">
            <w:rPr>
              <w:noProof/>
              <w:lang w:eastAsia="zh-TW"/>
            </w:rPr>
            <w:pict>
              <v:rect id="_x0000_s1030" style="position:absolute;left:0;text-align:left;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30">
                  <w:txbxContent>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Pr="00A30C5F" w:rsidRDefault="00A31F4C" w:rsidP="003143AC">
                      <w:pPr>
                        <w:ind w:left="720"/>
                        <w:rPr>
                          <w:szCs w:val="96"/>
                        </w:rPr>
                      </w:pPr>
                    </w:p>
                  </w:txbxContent>
                </v:textbox>
                <w10:wrap anchorx="page" anchory="page"/>
              </v:rect>
            </w:pict>
          </w:r>
          <w:r w:rsidR="003143AC">
            <w:tab/>
          </w:r>
        </w:p>
        <w:p w:rsidR="00A30C5F" w:rsidRDefault="00A30C5F"/>
        <w:tbl>
          <w:tblPr>
            <w:tblpPr w:leftFromText="180" w:rightFromText="180" w:vertAnchor="text" w:tblpY="1"/>
            <w:tblOverlap w:val="never"/>
            <w:tblW w:w="3506" w:type="pct"/>
            <w:tblInd w:w="1380" w:type="dxa"/>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shd w:val="clear" w:color="auto" w:fill="FFFFFF" w:themeFill="background1"/>
            <w:tblLook w:val="04A0"/>
          </w:tblPr>
          <w:tblGrid>
            <w:gridCol w:w="6778"/>
          </w:tblGrid>
          <w:tr w:rsidR="00A30C5F" w:rsidTr="00A31F4C">
            <w:trPr>
              <w:trHeight w:val="3770"/>
            </w:trPr>
            <w:tc>
              <w:tcPr>
                <w:tcW w:w="3000" w:type="pct"/>
                <w:shd w:val="clear" w:color="auto" w:fill="FFFFFF" w:themeFill="background1"/>
                <w:vAlign w:val="center"/>
              </w:tcPr>
              <w:sdt>
                <w:sdtPr>
                  <w:rPr>
                    <w:rFonts w:asciiTheme="majorHAnsi" w:eastAsiaTheme="majorEastAsia" w:hAnsiTheme="majorHAnsi" w:cstheme="majorBidi"/>
                    <w:b/>
                    <w:sz w:val="40"/>
                    <w:szCs w:val="40"/>
                  </w:rPr>
                  <w:alias w:val="Title"/>
                  <w:id w:val="13783212"/>
                  <w:placeholder>
                    <w:docPart w:val="7BD7BA6E40A64AB0BCC0DC1A6A470E63"/>
                  </w:placeholder>
                  <w:dataBinding w:prefixMappings="xmlns:ns0='http://schemas.openxmlformats.org/package/2006/metadata/core-properties' xmlns:ns1='http://purl.org/dc/elements/1.1/'" w:xpath="/ns0:coreProperties[1]/ns1:title[1]" w:storeItemID="{6C3C8BC8-F283-45AE-878A-BAB7291924A1}"/>
                  <w:text/>
                </w:sdtPr>
                <w:sdtContent>
                  <w:p w:rsidR="00A30C5F" w:rsidRPr="00A30C5F" w:rsidRDefault="00261F10" w:rsidP="00A30C5F">
                    <w:pPr>
                      <w:pStyle w:val="NoSpacing"/>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TRC Financial Services</w:t>
                    </w:r>
                    <w:r w:rsidR="00A30C5F" w:rsidRPr="00A30C5F">
                      <w:rPr>
                        <w:rFonts w:asciiTheme="majorHAnsi" w:eastAsiaTheme="majorEastAsia" w:hAnsiTheme="majorHAnsi" w:cstheme="majorBidi"/>
                        <w:b/>
                        <w:sz w:val="40"/>
                        <w:szCs w:val="40"/>
                      </w:rPr>
                      <w:t xml:space="preserve"> Limited</w:t>
                    </w:r>
                  </w:p>
                </w:sdtContent>
              </w:sdt>
              <w:p w:rsidR="00A30C5F" w:rsidRDefault="00A30C5F" w:rsidP="00A30C5F">
                <w:pPr>
                  <w:pStyle w:val="NoSpacing"/>
                  <w:jc w:val="center"/>
                </w:pPr>
              </w:p>
              <w:sdt>
                <w:sdtPr>
                  <w:rPr>
                    <w:rFonts w:asciiTheme="majorHAnsi" w:eastAsiaTheme="majorEastAsia" w:hAnsiTheme="majorHAnsi" w:cstheme="majorBidi"/>
                    <w:i/>
                    <w:sz w:val="36"/>
                    <w:szCs w:val="36"/>
                  </w:rPr>
                  <w:alias w:val="Subtitle"/>
                  <w:id w:val="13783219"/>
                  <w:dataBinding w:prefixMappings="xmlns:ns0='http://schemas.openxmlformats.org/package/2006/metadata/core-properties' xmlns:ns1='http://purl.org/dc/elements/1.1/'" w:xpath="/ns0:coreProperties[1]/ns1:subject[1]" w:storeItemID="{6C3C8BC8-F283-45AE-878A-BAB7291924A1}"/>
                  <w:text/>
                </w:sdtPr>
                <w:sdtContent>
                  <w:p w:rsidR="00A30C5F" w:rsidRPr="00A30C5F" w:rsidRDefault="00A30C5F" w:rsidP="00A30C5F">
                    <w:pPr>
                      <w:pStyle w:val="NoSpacing"/>
                      <w:jc w:val="center"/>
                      <w:rPr>
                        <w:rFonts w:asciiTheme="majorHAnsi" w:eastAsiaTheme="majorEastAsia" w:hAnsiTheme="majorHAnsi" w:cstheme="majorBidi"/>
                        <w:i/>
                        <w:sz w:val="36"/>
                        <w:szCs w:val="36"/>
                      </w:rPr>
                    </w:pPr>
                    <w:r w:rsidRPr="00A30C5F">
                      <w:rPr>
                        <w:rFonts w:asciiTheme="majorHAnsi" w:eastAsiaTheme="majorEastAsia" w:hAnsiTheme="majorHAnsi" w:cstheme="majorBidi"/>
                        <w:i/>
                        <w:sz w:val="36"/>
                        <w:szCs w:val="36"/>
                      </w:rPr>
                      <w:t>Policy on Related Party Transactions</w:t>
                    </w:r>
                  </w:p>
                </w:sdtContent>
              </w:sdt>
              <w:p w:rsidR="00A30C5F" w:rsidRDefault="00A30C5F" w:rsidP="00A30C5F">
                <w:pPr>
                  <w:pStyle w:val="NoSpacing"/>
                  <w:jc w:val="center"/>
                </w:pPr>
              </w:p>
              <w:p w:rsidR="00A30C5F" w:rsidRDefault="00A30C5F" w:rsidP="00A30C5F">
                <w:pPr>
                  <w:pStyle w:val="NoSpacing"/>
                  <w:jc w:val="center"/>
                </w:pPr>
              </w:p>
              <w:p w:rsidR="00A30C5F" w:rsidRDefault="00A30C5F" w:rsidP="00A30C5F">
                <w:pPr>
                  <w:pStyle w:val="NoSpacing"/>
                  <w:jc w:val="center"/>
                </w:pPr>
              </w:p>
            </w:tc>
          </w:tr>
        </w:tbl>
        <w:p w:rsidR="00A30C5F" w:rsidRDefault="00A30C5F">
          <w:r>
            <w:br w:type="textWrapping" w:clear="all"/>
          </w:r>
        </w:p>
        <w:p w:rsidR="00A30C5F" w:rsidRDefault="00A30C5F">
          <w:pPr>
            <w:rPr>
              <w:rFonts w:ascii="Book Antiqua" w:hAnsi="Book Antiqua" w:cs="Times New Roman"/>
              <w:b/>
              <w:bCs/>
            </w:rPr>
          </w:pPr>
          <w:r>
            <w:rPr>
              <w:rFonts w:ascii="Book Antiqua" w:hAnsi="Book Antiqua" w:cs="Times New Roman"/>
              <w:b/>
              <w:bCs/>
            </w:rPr>
            <w:br w:type="page"/>
          </w:r>
        </w:p>
      </w:sdtContent>
    </w:sdt>
    <w:p w:rsidR="003143AC" w:rsidRDefault="003143AC" w:rsidP="00C53488">
      <w:pPr>
        <w:pBdr>
          <w:bottom w:val="single" w:sz="4" w:space="1" w:color="auto"/>
        </w:pBdr>
        <w:spacing w:after="0"/>
        <w:rPr>
          <w:rFonts w:ascii="Book Antiqua" w:hAnsi="Book Antiqua" w:cs="Times New Roman"/>
          <w:b/>
          <w:bCs/>
        </w:rPr>
      </w:pPr>
    </w:p>
    <w:p w:rsidR="00CF56E9" w:rsidRPr="00423107" w:rsidRDefault="00CF56E9" w:rsidP="00C53488">
      <w:pPr>
        <w:pBdr>
          <w:bottom w:val="single" w:sz="4" w:space="1" w:color="auto"/>
        </w:pBdr>
        <w:spacing w:after="0"/>
        <w:rPr>
          <w:rFonts w:ascii="Book Antiqua" w:hAnsi="Book Antiqua" w:cs="Times New Roman"/>
          <w:b/>
          <w:bCs/>
        </w:rPr>
      </w:pPr>
      <w:r w:rsidRPr="00423107">
        <w:rPr>
          <w:rFonts w:ascii="Book Antiqua" w:hAnsi="Book Antiqua" w:cs="Times New Roman"/>
          <w:b/>
          <w:bCs/>
        </w:rPr>
        <w:t>POLICY ON RELATED PARTY TRANSACTION</w:t>
      </w:r>
      <w:r w:rsidR="00C53488" w:rsidRPr="00423107">
        <w:rPr>
          <w:rFonts w:ascii="Book Antiqua" w:hAnsi="Book Antiqua" w:cs="Times New Roman"/>
          <w:b/>
          <w:bCs/>
        </w:rPr>
        <w:t>S</w:t>
      </w:r>
    </w:p>
    <w:p w:rsidR="00F13F7B" w:rsidRPr="00423107" w:rsidRDefault="00F13F7B" w:rsidP="00A66E2B">
      <w:pPr>
        <w:pStyle w:val="Default"/>
        <w:jc w:val="both"/>
        <w:rPr>
          <w:rFonts w:ascii="Book Antiqua" w:hAnsi="Book Antiqua"/>
          <w:sz w:val="22"/>
          <w:szCs w:val="22"/>
        </w:rPr>
      </w:pPr>
    </w:p>
    <w:p w:rsidR="006B06C8" w:rsidRPr="00423107" w:rsidRDefault="0090105B" w:rsidP="006B06C8">
      <w:pPr>
        <w:pStyle w:val="Default"/>
        <w:numPr>
          <w:ilvl w:val="0"/>
          <w:numId w:val="1"/>
        </w:numPr>
        <w:jc w:val="both"/>
        <w:rPr>
          <w:rFonts w:ascii="Book Antiqua" w:hAnsi="Book Antiqua"/>
          <w:b/>
          <w:bCs/>
          <w:sz w:val="22"/>
          <w:szCs w:val="22"/>
          <w:u w:val="single"/>
        </w:rPr>
      </w:pPr>
      <w:r w:rsidRPr="00423107">
        <w:rPr>
          <w:rFonts w:ascii="Book Antiqua" w:hAnsi="Book Antiqua"/>
          <w:b/>
          <w:bCs/>
          <w:sz w:val="22"/>
          <w:szCs w:val="22"/>
          <w:u w:val="single"/>
        </w:rPr>
        <w:t>OBJECTIVE</w:t>
      </w:r>
    </w:p>
    <w:p w:rsidR="006B06C8" w:rsidRPr="00423107" w:rsidRDefault="006B06C8" w:rsidP="006B06C8">
      <w:pPr>
        <w:pStyle w:val="Default"/>
        <w:ind w:left="360"/>
        <w:jc w:val="both"/>
        <w:rPr>
          <w:rFonts w:ascii="Book Antiqua" w:hAnsi="Book Antiqua"/>
          <w:b/>
          <w:bCs/>
          <w:sz w:val="22"/>
          <w:szCs w:val="22"/>
          <w:u w:val="single"/>
        </w:rPr>
      </w:pPr>
    </w:p>
    <w:p w:rsidR="006B06C8" w:rsidRPr="00423107" w:rsidRDefault="006B06C8" w:rsidP="006B06C8">
      <w:pPr>
        <w:pStyle w:val="Default"/>
        <w:ind w:left="360"/>
        <w:jc w:val="both"/>
        <w:rPr>
          <w:rFonts w:ascii="Book Antiqua" w:hAnsi="Book Antiqua"/>
          <w:bCs/>
          <w:sz w:val="22"/>
          <w:szCs w:val="22"/>
        </w:rPr>
      </w:pPr>
      <w:r w:rsidRPr="00423107">
        <w:rPr>
          <w:rFonts w:ascii="Book Antiqua" w:hAnsi="Book Antiqua"/>
          <w:bCs/>
          <w:sz w:val="22"/>
          <w:szCs w:val="22"/>
        </w:rPr>
        <w:t>The Objective of the Policy is to set out:</w:t>
      </w:r>
    </w:p>
    <w:p w:rsidR="006B06C8" w:rsidRPr="00423107" w:rsidRDefault="006B06C8" w:rsidP="006B06C8">
      <w:pPr>
        <w:pStyle w:val="Default"/>
        <w:ind w:left="360"/>
        <w:jc w:val="both"/>
        <w:rPr>
          <w:rFonts w:ascii="Book Antiqua" w:hAnsi="Book Antiqua"/>
          <w:bCs/>
          <w:sz w:val="22"/>
          <w:szCs w:val="22"/>
        </w:rPr>
      </w:pPr>
    </w:p>
    <w:p w:rsidR="006B06C8" w:rsidRPr="00423107" w:rsidRDefault="006B06C8" w:rsidP="006B06C8">
      <w:pPr>
        <w:pStyle w:val="Default"/>
        <w:numPr>
          <w:ilvl w:val="0"/>
          <w:numId w:val="2"/>
        </w:numPr>
        <w:jc w:val="both"/>
        <w:rPr>
          <w:rFonts w:ascii="Book Antiqua" w:hAnsi="Book Antiqua"/>
          <w:bCs/>
          <w:sz w:val="22"/>
          <w:szCs w:val="22"/>
        </w:rPr>
      </w:pPr>
      <w:r w:rsidRPr="00423107">
        <w:rPr>
          <w:rFonts w:ascii="Book Antiqua" w:hAnsi="Book Antiqua"/>
          <w:bCs/>
          <w:sz w:val="22"/>
          <w:szCs w:val="22"/>
        </w:rPr>
        <w:t xml:space="preserve">The materiality thresholds </w:t>
      </w:r>
      <w:r w:rsidR="00A422AD" w:rsidRPr="00423107">
        <w:rPr>
          <w:rFonts w:ascii="Book Antiqua" w:hAnsi="Book Antiqua"/>
          <w:bCs/>
          <w:sz w:val="22"/>
          <w:szCs w:val="22"/>
        </w:rPr>
        <w:t>for Related Party Transactions</w:t>
      </w:r>
    </w:p>
    <w:p w:rsidR="006B06C8" w:rsidRPr="00423107" w:rsidRDefault="00A422AD" w:rsidP="00A422AD">
      <w:pPr>
        <w:pStyle w:val="Default"/>
        <w:numPr>
          <w:ilvl w:val="0"/>
          <w:numId w:val="2"/>
        </w:numPr>
        <w:jc w:val="both"/>
        <w:rPr>
          <w:rFonts w:ascii="Book Antiqua" w:hAnsi="Book Antiqua"/>
          <w:b/>
          <w:bCs/>
          <w:sz w:val="22"/>
          <w:szCs w:val="22"/>
        </w:rPr>
      </w:pPr>
      <w:r w:rsidRPr="00423107">
        <w:rPr>
          <w:rFonts w:ascii="Book Antiqua" w:hAnsi="Book Antiqua"/>
          <w:bCs/>
          <w:sz w:val="22"/>
          <w:szCs w:val="22"/>
        </w:rPr>
        <w:t xml:space="preserve">The manner of dealing with the transactions between the Company and its Related Parties </w:t>
      </w:r>
    </w:p>
    <w:p w:rsidR="006B06C8" w:rsidRPr="00423107" w:rsidRDefault="006B06C8" w:rsidP="00A66E2B">
      <w:pPr>
        <w:pStyle w:val="Default"/>
        <w:jc w:val="both"/>
        <w:rPr>
          <w:rFonts w:ascii="Book Antiqua" w:hAnsi="Book Antiqua"/>
          <w:b/>
          <w:bCs/>
          <w:sz w:val="22"/>
          <w:szCs w:val="22"/>
        </w:rPr>
      </w:pPr>
    </w:p>
    <w:p w:rsidR="00C60445" w:rsidRPr="00423107" w:rsidRDefault="00C60445" w:rsidP="00C60445">
      <w:pPr>
        <w:pStyle w:val="Default"/>
        <w:ind w:left="360"/>
        <w:jc w:val="both"/>
        <w:rPr>
          <w:rFonts w:ascii="Book Antiqua" w:hAnsi="Book Antiqua"/>
          <w:sz w:val="22"/>
          <w:szCs w:val="22"/>
        </w:rPr>
      </w:pPr>
      <w:r w:rsidRPr="00423107">
        <w:rPr>
          <w:rFonts w:ascii="Book Antiqua" w:hAnsi="Book Antiqua"/>
          <w:sz w:val="22"/>
          <w:szCs w:val="22"/>
        </w:rPr>
        <w:t>The Board of Directors (the “Board”</w:t>
      </w:r>
      <w:r w:rsidR="00377A85" w:rsidRPr="00423107">
        <w:rPr>
          <w:rFonts w:ascii="Book Antiqua" w:hAnsi="Book Antiqua"/>
          <w:sz w:val="22"/>
          <w:szCs w:val="22"/>
        </w:rPr>
        <w:t xml:space="preserve">) of </w:t>
      </w:r>
      <w:r w:rsidR="00261F10">
        <w:rPr>
          <w:rFonts w:ascii="Book Antiqua" w:hAnsi="Book Antiqua"/>
          <w:sz w:val="22"/>
          <w:szCs w:val="22"/>
        </w:rPr>
        <w:t>TRC Financial Services</w:t>
      </w:r>
      <w:r w:rsidRPr="00423107">
        <w:rPr>
          <w:rFonts w:ascii="Book Antiqua" w:hAnsi="Book Antiqua"/>
          <w:sz w:val="22"/>
          <w:szCs w:val="22"/>
        </w:rPr>
        <w:t xml:space="preserve"> Limited (the “Company) has adopted the following policy and procedures with regard to Related Party Transactions as defined below to avoid potential or actual conflict of interest between management and shareholders of the Company. </w:t>
      </w:r>
    </w:p>
    <w:p w:rsidR="00C60445" w:rsidRPr="00423107" w:rsidRDefault="00C60445" w:rsidP="00A66E2B">
      <w:pPr>
        <w:pStyle w:val="Default"/>
        <w:jc w:val="both"/>
        <w:rPr>
          <w:rFonts w:ascii="Book Antiqua" w:hAnsi="Book Antiqua"/>
          <w:b/>
          <w:bCs/>
          <w:sz w:val="22"/>
          <w:szCs w:val="22"/>
        </w:rPr>
      </w:pPr>
    </w:p>
    <w:p w:rsidR="00F13F7B" w:rsidRPr="00423107" w:rsidRDefault="0090105B" w:rsidP="0090105B">
      <w:pPr>
        <w:pStyle w:val="Default"/>
        <w:numPr>
          <w:ilvl w:val="0"/>
          <w:numId w:val="1"/>
        </w:numPr>
        <w:jc w:val="both"/>
        <w:rPr>
          <w:rFonts w:ascii="Book Antiqua" w:hAnsi="Book Antiqua"/>
          <w:sz w:val="22"/>
          <w:szCs w:val="22"/>
          <w:u w:val="single"/>
        </w:rPr>
      </w:pPr>
      <w:r w:rsidRPr="00423107">
        <w:rPr>
          <w:rFonts w:ascii="Book Antiqua" w:hAnsi="Book Antiqua"/>
          <w:b/>
          <w:bCs/>
          <w:sz w:val="22"/>
          <w:szCs w:val="22"/>
          <w:u w:val="single"/>
        </w:rPr>
        <w:t>DEFINITIONS</w:t>
      </w:r>
      <w:r w:rsidR="00F13F7B" w:rsidRPr="00423107">
        <w:rPr>
          <w:rFonts w:ascii="Book Antiqua" w:hAnsi="Book Antiqua"/>
          <w:b/>
          <w:bCs/>
          <w:sz w:val="22"/>
          <w:szCs w:val="22"/>
          <w:u w:val="single"/>
        </w:rPr>
        <w:t xml:space="preserve"> </w:t>
      </w:r>
    </w:p>
    <w:p w:rsidR="00F13F7B" w:rsidRPr="00423107" w:rsidRDefault="00F13F7B" w:rsidP="00A66E2B">
      <w:pPr>
        <w:pStyle w:val="Default"/>
        <w:jc w:val="both"/>
        <w:rPr>
          <w:rFonts w:ascii="Book Antiqua" w:hAnsi="Book Antiqua"/>
          <w:sz w:val="22"/>
          <w:szCs w:val="22"/>
        </w:rPr>
      </w:pPr>
    </w:p>
    <w:p w:rsidR="00F13F7B" w:rsidRPr="00423107" w:rsidRDefault="00F13F7B" w:rsidP="00C53488">
      <w:pPr>
        <w:pStyle w:val="Default"/>
        <w:ind w:left="360"/>
        <w:jc w:val="both"/>
        <w:rPr>
          <w:rFonts w:ascii="Book Antiqua" w:hAnsi="Book Antiqua"/>
          <w:sz w:val="22"/>
          <w:szCs w:val="22"/>
        </w:rPr>
      </w:pPr>
      <w:r w:rsidRPr="00423107">
        <w:rPr>
          <w:rFonts w:ascii="Book Antiqua" w:hAnsi="Book Antiqua"/>
          <w:b/>
          <w:bCs/>
          <w:sz w:val="22"/>
          <w:szCs w:val="22"/>
        </w:rPr>
        <w:t>“Audit Committee or Committee</w:t>
      </w:r>
      <w:r w:rsidR="00BD41F5" w:rsidRPr="00423107">
        <w:rPr>
          <w:rFonts w:ascii="Book Antiqua" w:hAnsi="Book Antiqua"/>
          <w:b/>
          <w:bCs/>
          <w:sz w:val="22"/>
          <w:szCs w:val="22"/>
        </w:rPr>
        <w:t xml:space="preserve">” </w:t>
      </w:r>
      <w:r w:rsidR="00BD41F5" w:rsidRPr="00423107">
        <w:rPr>
          <w:rFonts w:ascii="Book Antiqua" w:hAnsi="Book Antiqua"/>
          <w:sz w:val="22"/>
          <w:szCs w:val="22"/>
        </w:rPr>
        <w:t>means</w:t>
      </w:r>
      <w:r w:rsidRPr="00423107">
        <w:rPr>
          <w:rFonts w:ascii="Book Antiqua" w:hAnsi="Book Antiqua"/>
          <w:sz w:val="22"/>
          <w:szCs w:val="22"/>
        </w:rPr>
        <w:t xml:space="preserve"> Committee of Board of Directors of the Company constituted under provisions of Listing agreement and Companies Act, 2013. </w:t>
      </w:r>
    </w:p>
    <w:p w:rsidR="005271DD" w:rsidRPr="00423107" w:rsidRDefault="005271DD" w:rsidP="00C53488">
      <w:pPr>
        <w:pStyle w:val="Default"/>
        <w:ind w:left="360"/>
        <w:jc w:val="both"/>
        <w:rPr>
          <w:rFonts w:ascii="Book Antiqua" w:hAnsi="Book Antiqua"/>
          <w:sz w:val="22"/>
          <w:szCs w:val="22"/>
        </w:rPr>
      </w:pPr>
      <w:r w:rsidRPr="00423107">
        <w:rPr>
          <w:rFonts w:ascii="Book Antiqua" w:hAnsi="Book Antiqua"/>
          <w:sz w:val="22"/>
          <w:szCs w:val="22"/>
        </w:rPr>
        <w:t xml:space="preserve"> </w:t>
      </w:r>
    </w:p>
    <w:p w:rsidR="00F13F7B" w:rsidRPr="00423107" w:rsidRDefault="00F13F7B" w:rsidP="00C53488">
      <w:pPr>
        <w:pStyle w:val="Default"/>
        <w:ind w:left="360"/>
        <w:jc w:val="both"/>
        <w:rPr>
          <w:rFonts w:ascii="Book Antiqua" w:hAnsi="Book Antiqua"/>
          <w:sz w:val="22"/>
          <w:szCs w:val="22"/>
        </w:rPr>
      </w:pPr>
      <w:r w:rsidRPr="00423107">
        <w:rPr>
          <w:rFonts w:ascii="Book Antiqua" w:hAnsi="Book Antiqua"/>
          <w:b/>
          <w:bCs/>
          <w:sz w:val="22"/>
          <w:szCs w:val="22"/>
        </w:rPr>
        <w:t xml:space="preserve">“Board” </w:t>
      </w:r>
      <w:r w:rsidR="00BD41F5" w:rsidRPr="00423107">
        <w:rPr>
          <w:rFonts w:ascii="Book Antiqua" w:hAnsi="Book Antiqua"/>
          <w:bCs/>
          <w:sz w:val="22"/>
          <w:szCs w:val="22"/>
        </w:rPr>
        <w:t>mean</w:t>
      </w:r>
      <w:r w:rsidR="008533D5" w:rsidRPr="00423107">
        <w:rPr>
          <w:rFonts w:ascii="Book Antiqua" w:hAnsi="Book Antiqua"/>
          <w:bCs/>
          <w:sz w:val="22"/>
          <w:szCs w:val="22"/>
        </w:rPr>
        <w:t>s</w:t>
      </w:r>
      <w:r w:rsidRPr="00423107">
        <w:rPr>
          <w:rFonts w:ascii="Book Antiqua" w:hAnsi="Book Antiqua"/>
          <w:sz w:val="22"/>
          <w:szCs w:val="22"/>
        </w:rPr>
        <w:t xml:space="preserve"> B</w:t>
      </w:r>
      <w:r w:rsidR="0090105B" w:rsidRPr="00423107">
        <w:rPr>
          <w:rFonts w:ascii="Book Antiqua" w:hAnsi="Book Antiqua"/>
          <w:sz w:val="22"/>
          <w:szCs w:val="22"/>
        </w:rPr>
        <w:t>oard of Directors of the Company.</w:t>
      </w:r>
    </w:p>
    <w:p w:rsidR="0090105B" w:rsidRPr="00423107" w:rsidRDefault="0090105B" w:rsidP="00C53488">
      <w:pPr>
        <w:pStyle w:val="Default"/>
        <w:ind w:left="360"/>
        <w:jc w:val="both"/>
        <w:rPr>
          <w:rFonts w:ascii="Book Antiqua" w:hAnsi="Book Antiqua"/>
          <w:sz w:val="22"/>
          <w:szCs w:val="22"/>
        </w:rPr>
      </w:pPr>
    </w:p>
    <w:p w:rsidR="00F13F7B" w:rsidRPr="00423107" w:rsidRDefault="00F13F7B" w:rsidP="00C53488">
      <w:pPr>
        <w:pStyle w:val="Default"/>
        <w:ind w:left="360"/>
        <w:jc w:val="both"/>
        <w:rPr>
          <w:rFonts w:ascii="Book Antiqua" w:hAnsi="Book Antiqua"/>
          <w:sz w:val="22"/>
          <w:szCs w:val="22"/>
        </w:rPr>
      </w:pPr>
      <w:r w:rsidRPr="00423107">
        <w:rPr>
          <w:rFonts w:ascii="Book Antiqua" w:hAnsi="Book Antiqua"/>
          <w:b/>
          <w:bCs/>
          <w:sz w:val="22"/>
          <w:szCs w:val="22"/>
        </w:rPr>
        <w:t xml:space="preserve">“Key Managerial Personnel” </w:t>
      </w:r>
      <w:r w:rsidR="00BD41F5" w:rsidRPr="00423107">
        <w:rPr>
          <w:rFonts w:ascii="Book Antiqua" w:hAnsi="Book Antiqua"/>
          <w:sz w:val="22"/>
          <w:szCs w:val="22"/>
        </w:rPr>
        <w:t xml:space="preserve">means </w:t>
      </w:r>
      <w:r w:rsidRPr="00423107">
        <w:rPr>
          <w:rFonts w:ascii="Book Antiqua" w:hAnsi="Book Antiqua"/>
          <w:sz w:val="22"/>
          <w:szCs w:val="22"/>
        </w:rPr>
        <w:t xml:space="preserve">key managerial personnel as defined under the Companies Act, 2013 and includes </w:t>
      </w:r>
    </w:p>
    <w:p w:rsidR="00F13F7B" w:rsidRPr="00423107" w:rsidRDefault="00F13F7B" w:rsidP="00885AED">
      <w:pPr>
        <w:pStyle w:val="Default"/>
        <w:numPr>
          <w:ilvl w:val="0"/>
          <w:numId w:val="12"/>
        </w:numPr>
        <w:ind w:left="1080" w:hanging="540"/>
        <w:jc w:val="both"/>
        <w:rPr>
          <w:rFonts w:ascii="Book Antiqua" w:hAnsi="Book Antiqua"/>
          <w:sz w:val="22"/>
          <w:szCs w:val="22"/>
        </w:rPr>
      </w:pPr>
      <w:r w:rsidRPr="00423107">
        <w:rPr>
          <w:rFonts w:ascii="Book Antiqua" w:hAnsi="Book Antiqua"/>
          <w:sz w:val="22"/>
          <w:szCs w:val="22"/>
        </w:rPr>
        <w:t xml:space="preserve">Managing Director, or Chief Executive Officer or manager and in their absence, a whole-time director; </w:t>
      </w:r>
    </w:p>
    <w:p w:rsidR="00F13F7B" w:rsidRPr="00423107" w:rsidRDefault="00F13F7B" w:rsidP="00885AED">
      <w:pPr>
        <w:pStyle w:val="Default"/>
        <w:numPr>
          <w:ilvl w:val="0"/>
          <w:numId w:val="12"/>
        </w:numPr>
        <w:ind w:left="1080" w:hanging="540"/>
        <w:jc w:val="both"/>
        <w:rPr>
          <w:rFonts w:ascii="Book Antiqua" w:hAnsi="Book Antiqua"/>
          <w:sz w:val="22"/>
          <w:szCs w:val="22"/>
        </w:rPr>
      </w:pPr>
      <w:r w:rsidRPr="00423107">
        <w:rPr>
          <w:rFonts w:ascii="Book Antiqua" w:hAnsi="Book Antiqua"/>
          <w:sz w:val="22"/>
          <w:szCs w:val="22"/>
        </w:rPr>
        <w:t xml:space="preserve">Company Secretary; and </w:t>
      </w:r>
    </w:p>
    <w:p w:rsidR="00F13F7B" w:rsidRPr="00423107" w:rsidRDefault="00F13F7B" w:rsidP="00885AED">
      <w:pPr>
        <w:pStyle w:val="Default"/>
        <w:numPr>
          <w:ilvl w:val="0"/>
          <w:numId w:val="12"/>
        </w:numPr>
        <w:ind w:left="1080" w:hanging="540"/>
        <w:jc w:val="both"/>
        <w:rPr>
          <w:rFonts w:ascii="Book Antiqua" w:hAnsi="Book Antiqua"/>
          <w:sz w:val="22"/>
          <w:szCs w:val="22"/>
        </w:rPr>
      </w:pPr>
      <w:r w:rsidRPr="00423107">
        <w:rPr>
          <w:rFonts w:ascii="Book Antiqua" w:hAnsi="Book Antiqua"/>
          <w:sz w:val="22"/>
          <w:szCs w:val="22"/>
        </w:rPr>
        <w:t xml:space="preserve">Chief Financial Officer </w:t>
      </w:r>
    </w:p>
    <w:p w:rsidR="00BD41F5" w:rsidRPr="00423107" w:rsidRDefault="00BD41F5" w:rsidP="00A66E2B">
      <w:pPr>
        <w:pStyle w:val="Default"/>
        <w:jc w:val="both"/>
        <w:rPr>
          <w:rFonts w:ascii="Book Antiqua" w:hAnsi="Book Antiqua"/>
          <w:sz w:val="22"/>
          <w:szCs w:val="22"/>
        </w:rPr>
      </w:pPr>
    </w:p>
    <w:p w:rsidR="00F13F7B" w:rsidRPr="00423107" w:rsidRDefault="00F13F7B" w:rsidP="00C53488">
      <w:pPr>
        <w:pStyle w:val="Default"/>
        <w:ind w:left="360"/>
        <w:jc w:val="both"/>
        <w:rPr>
          <w:rFonts w:ascii="Book Antiqua" w:hAnsi="Book Antiqua"/>
          <w:sz w:val="22"/>
          <w:szCs w:val="22"/>
        </w:rPr>
      </w:pPr>
      <w:r w:rsidRPr="00423107">
        <w:rPr>
          <w:rFonts w:ascii="Book Antiqua" w:hAnsi="Book Antiqua"/>
          <w:b/>
          <w:bCs/>
          <w:sz w:val="22"/>
          <w:szCs w:val="22"/>
        </w:rPr>
        <w:t xml:space="preserve">“Policy” </w:t>
      </w:r>
      <w:r w:rsidRPr="00423107">
        <w:rPr>
          <w:rFonts w:ascii="Book Antiqua" w:hAnsi="Book Antiqua"/>
          <w:sz w:val="22"/>
          <w:szCs w:val="22"/>
        </w:rPr>
        <w:t xml:space="preserve">means Related Party Transaction Policy. </w:t>
      </w:r>
    </w:p>
    <w:p w:rsidR="00BD41F5" w:rsidRPr="00423107" w:rsidRDefault="00BD41F5" w:rsidP="00C53488">
      <w:pPr>
        <w:pStyle w:val="Default"/>
        <w:ind w:left="360"/>
        <w:jc w:val="both"/>
        <w:rPr>
          <w:rFonts w:ascii="Book Antiqua" w:hAnsi="Book Antiqua"/>
          <w:sz w:val="22"/>
          <w:szCs w:val="22"/>
        </w:rPr>
      </w:pPr>
    </w:p>
    <w:p w:rsidR="00F13F7B" w:rsidRPr="00423107" w:rsidRDefault="00F13F7B" w:rsidP="00C53488">
      <w:pPr>
        <w:pStyle w:val="Default"/>
        <w:ind w:left="360"/>
        <w:jc w:val="both"/>
        <w:rPr>
          <w:rFonts w:ascii="Book Antiqua" w:hAnsi="Book Antiqua"/>
          <w:color w:val="FF0000"/>
          <w:sz w:val="22"/>
          <w:szCs w:val="22"/>
        </w:rPr>
      </w:pPr>
      <w:r w:rsidRPr="00423107">
        <w:rPr>
          <w:rFonts w:ascii="Book Antiqua" w:hAnsi="Book Antiqua"/>
          <w:sz w:val="22"/>
          <w:szCs w:val="22"/>
        </w:rPr>
        <w:t>“</w:t>
      </w:r>
      <w:r w:rsidRPr="00423107">
        <w:rPr>
          <w:rFonts w:ascii="Book Antiqua" w:hAnsi="Book Antiqua"/>
          <w:b/>
          <w:bCs/>
          <w:sz w:val="22"/>
          <w:szCs w:val="22"/>
        </w:rPr>
        <w:t>Related Party</w:t>
      </w:r>
      <w:r w:rsidRPr="00423107">
        <w:rPr>
          <w:rFonts w:ascii="Book Antiqua" w:hAnsi="Book Antiqua"/>
          <w:sz w:val="22"/>
          <w:szCs w:val="22"/>
        </w:rPr>
        <w:t xml:space="preserve">” </w:t>
      </w:r>
      <w:r w:rsidR="005271DD" w:rsidRPr="00423107">
        <w:rPr>
          <w:rFonts w:ascii="Book Antiqua" w:hAnsi="Book Antiqua"/>
          <w:sz w:val="22"/>
          <w:szCs w:val="22"/>
        </w:rPr>
        <w:t>s</w:t>
      </w:r>
      <w:r w:rsidR="00003E65" w:rsidRPr="00423107">
        <w:rPr>
          <w:rFonts w:ascii="Book Antiqua" w:hAnsi="Book Antiqua"/>
          <w:sz w:val="22"/>
          <w:szCs w:val="22"/>
        </w:rPr>
        <w:t>hall have the same meaning under Section 2(76) of the Companies Act, 2013</w:t>
      </w:r>
      <w:r w:rsidR="00C83FFE" w:rsidRPr="00423107">
        <w:rPr>
          <w:rFonts w:ascii="Book Antiqua" w:hAnsi="Book Antiqua"/>
          <w:sz w:val="22"/>
          <w:szCs w:val="22"/>
        </w:rPr>
        <w:t xml:space="preserve"> and as per Clause 49 of the Listing agreement</w:t>
      </w:r>
      <w:r w:rsidR="00003E65" w:rsidRPr="00423107">
        <w:rPr>
          <w:rFonts w:ascii="Book Antiqua" w:hAnsi="Book Antiqua"/>
          <w:color w:val="FF0000"/>
          <w:sz w:val="22"/>
          <w:szCs w:val="22"/>
        </w:rPr>
        <w:t>.</w:t>
      </w:r>
    </w:p>
    <w:p w:rsidR="00003E65" w:rsidRPr="00423107" w:rsidRDefault="00003E65" w:rsidP="00C53488">
      <w:pPr>
        <w:pStyle w:val="Default"/>
        <w:ind w:left="360"/>
        <w:jc w:val="both"/>
        <w:rPr>
          <w:rFonts w:ascii="Book Antiqua" w:hAnsi="Book Antiqua"/>
          <w:color w:val="FF0000"/>
          <w:sz w:val="22"/>
          <w:szCs w:val="22"/>
        </w:rPr>
      </w:pPr>
      <w:r w:rsidRPr="00423107">
        <w:rPr>
          <w:rFonts w:ascii="Book Antiqua" w:hAnsi="Book Antiqua"/>
          <w:color w:val="FF0000"/>
          <w:sz w:val="22"/>
          <w:szCs w:val="22"/>
        </w:rPr>
        <w:tab/>
      </w:r>
    </w:p>
    <w:p w:rsidR="005271DD" w:rsidRPr="00423107" w:rsidRDefault="00F13F7B" w:rsidP="00C53488">
      <w:pPr>
        <w:pStyle w:val="Default"/>
        <w:ind w:left="360"/>
        <w:jc w:val="both"/>
        <w:rPr>
          <w:rFonts w:ascii="Book Antiqua" w:hAnsi="Book Antiqua"/>
          <w:sz w:val="22"/>
          <w:szCs w:val="22"/>
        </w:rPr>
      </w:pPr>
      <w:r w:rsidRPr="00423107">
        <w:rPr>
          <w:rFonts w:ascii="Book Antiqua" w:hAnsi="Book Antiqua"/>
          <w:sz w:val="22"/>
          <w:szCs w:val="22"/>
        </w:rPr>
        <w:t>“</w:t>
      </w:r>
      <w:r w:rsidRPr="00423107">
        <w:rPr>
          <w:rFonts w:ascii="Book Antiqua" w:hAnsi="Book Antiqua"/>
          <w:b/>
          <w:bCs/>
          <w:sz w:val="22"/>
          <w:szCs w:val="22"/>
        </w:rPr>
        <w:t>Related Party Transaction</w:t>
      </w:r>
      <w:r w:rsidRPr="00423107">
        <w:rPr>
          <w:rFonts w:ascii="Book Antiqua" w:hAnsi="Book Antiqua"/>
          <w:sz w:val="22"/>
          <w:szCs w:val="22"/>
        </w:rPr>
        <w:t xml:space="preserve">” </w:t>
      </w:r>
      <w:r w:rsidR="00C83FFE" w:rsidRPr="00423107">
        <w:rPr>
          <w:rFonts w:ascii="Book Antiqua" w:hAnsi="Book Antiqua"/>
          <w:sz w:val="22"/>
          <w:szCs w:val="22"/>
        </w:rPr>
        <w:t>shall have the same meaning under Section 188 of the Companies Act, 2013 and as per Clause 49 of the Listing agreement</w:t>
      </w:r>
    </w:p>
    <w:p w:rsidR="00C83FFE" w:rsidRPr="00423107" w:rsidRDefault="00C83FFE" w:rsidP="00C53488">
      <w:pPr>
        <w:pStyle w:val="Default"/>
        <w:ind w:left="360"/>
        <w:jc w:val="both"/>
        <w:rPr>
          <w:rFonts w:ascii="Book Antiqua" w:hAnsi="Book Antiqua"/>
          <w:sz w:val="22"/>
          <w:szCs w:val="22"/>
        </w:rPr>
      </w:pPr>
    </w:p>
    <w:p w:rsidR="00F13F7B" w:rsidRPr="00423107" w:rsidRDefault="00F13F7B" w:rsidP="00C53488">
      <w:pPr>
        <w:pStyle w:val="Default"/>
        <w:ind w:left="360"/>
        <w:jc w:val="both"/>
        <w:rPr>
          <w:rFonts w:ascii="Book Antiqua" w:hAnsi="Book Antiqua"/>
          <w:sz w:val="22"/>
          <w:szCs w:val="22"/>
        </w:rPr>
      </w:pPr>
      <w:r w:rsidRPr="00423107">
        <w:rPr>
          <w:rFonts w:ascii="Book Antiqua" w:hAnsi="Book Antiqua"/>
          <w:b/>
          <w:bCs/>
          <w:sz w:val="22"/>
          <w:szCs w:val="22"/>
        </w:rPr>
        <w:t xml:space="preserve">“Relative” </w:t>
      </w:r>
      <w:r w:rsidRPr="00423107">
        <w:rPr>
          <w:rFonts w:ascii="Book Antiqua" w:hAnsi="Book Antiqua"/>
          <w:sz w:val="22"/>
          <w:szCs w:val="22"/>
        </w:rPr>
        <w:t>means relative as define</w:t>
      </w:r>
      <w:r w:rsidR="00000062" w:rsidRPr="00423107">
        <w:rPr>
          <w:rFonts w:ascii="Book Antiqua" w:hAnsi="Book Antiqua"/>
          <w:sz w:val="22"/>
          <w:szCs w:val="22"/>
        </w:rPr>
        <w:t>d under the Companies Act, 2013</w:t>
      </w:r>
    </w:p>
    <w:p w:rsidR="00F13F7B" w:rsidRPr="00423107" w:rsidRDefault="00F13F7B" w:rsidP="00C53488">
      <w:pPr>
        <w:pStyle w:val="Default"/>
        <w:ind w:left="360"/>
        <w:jc w:val="both"/>
        <w:rPr>
          <w:rFonts w:ascii="Book Antiqua" w:hAnsi="Book Antiqua"/>
          <w:sz w:val="22"/>
          <w:szCs w:val="22"/>
        </w:rPr>
      </w:pPr>
    </w:p>
    <w:p w:rsidR="005271DD" w:rsidRPr="00423107" w:rsidRDefault="005271DD" w:rsidP="00C53488">
      <w:pPr>
        <w:pStyle w:val="Default"/>
        <w:ind w:left="360"/>
        <w:jc w:val="both"/>
        <w:rPr>
          <w:rFonts w:ascii="Book Antiqua" w:hAnsi="Book Antiqua"/>
          <w:sz w:val="22"/>
          <w:szCs w:val="22"/>
        </w:rPr>
      </w:pPr>
      <w:r w:rsidRPr="00423107">
        <w:rPr>
          <w:rFonts w:ascii="Book Antiqua" w:hAnsi="Book Antiqua"/>
          <w:b/>
          <w:sz w:val="22"/>
          <w:szCs w:val="22"/>
        </w:rPr>
        <w:t>“Transaction at Arm’s Length”</w:t>
      </w:r>
      <w:r w:rsidRPr="00423107">
        <w:rPr>
          <w:rFonts w:ascii="Book Antiqua" w:hAnsi="Book Antiqua"/>
          <w:sz w:val="22"/>
          <w:szCs w:val="22"/>
        </w:rPr>
        <w:t xml:space="preserve"> means a transaction entered between two related parties that </w:t>
      </w:r>
      <w:proofErr w:type="gramStart"/>
      <w:r w:rsidRPr="00423107">
        <w:rPr>
          <w:rFonts w:ascii="Book Antiqua" w:hAnsi="Book Antiqua"/>
          <w:sz w:val="22"/>
          <w:szCs w:val="22"/>
        </w:rPr>
        <w:t>is</w:t>
      </w:r>
      <w:proofErr w:type="gramEnd"/>
      <w:r w:rsidRPr="00423107">
        <w:rPr>
          <w:rFonts w:ascii="Book Antiqua" w:hAnsi="Book Antiqua"/>
          <w:sz w:val="22"/>
          <w:szCs w:val="22"/>
        </w:rPr>
        <w:t xml:space="preserve"> conducted as if they are unrelated.</w:t>
      </w:r>
    </w:p>
    <w:p w:rsidR="005271DD" w:rsidRPr="00423107" w:rsidRDefault="0048489F" w:rsidP="0048489F">
      <w:pPr>
        <w:pStyle w:val="Default"/>
        <w:tabs>
          <w:tab w:val="left" w:pos="5700"/>
        </w:tabs>
        <w:ind w:left="360"/>
        <w:jc w:val="both"/>
        <w:rPr>
          <w:rFonts w:ascii="Book Antiqua" w:hAnsi="Book Antiqua"/>
          <w:sz w:val="22"/>
          <w:szCs w:val="22"/>
        </w:rPr>
      </w:pPr>
      <w:r w:rsidRPr="00423107">
        <w:rPr>
          <w:rFonts w:ascii="Book Antiqua" w:hAnsi="Book Antiqua"/>
          <w:sz w:val="22"/>
          <w:szCs w:val="22"/>
        </w:rPr>
        <w:tab/>
      </w:r>
    </w:p>
    <w:p w:rsidR="005271DD" w:rsidRPr="00166393" w:rsidRDefault="005271DD" w:rsidP="00166393">
      <w:pPr>
        <w:ind w:left="360"/>
        <w:jc w:val="both"/>
        <w:rPr>
          <w:rFonts w:ascii="Book Antiqua" w:hAnsi="Book Antiqua" w:cs="Cambria"/>
          <w:b/>
          <w:color w:val="000000"/>
        </w:rPr>
      </w:pPr>
      <w:r w:rsidRPr="00423107">
        <w:rPr>
          <w:rFonts w:ascii="Book Antiqua" w:hAnsi="Book Antiqua"/>
          <w:b/>
        </w:rPr>
        <w:t>“Ordinary Course of Business”</w:t>
      </w:r>
      <w:r w:rsidRPr="00423107">
        <w:rPr>
          <w:rFonts w:ascii="Book Antiqua" w:hAnsi="Book Antiqua"/>
        </w:rPr>
        <w:t xml:space="preserve"> means transactions that are necessary, normal and incidental to the business, the objects of the Company permit such activity, there is a historical practice and pattern of frequency (not an isolated transaction), has connection with the normal business carried on by the Company.</w:t>
      </w:r>
    </w:p>
    <w:p w:rsidR="00166393" w:rsidRDefault="00166393">
      <w:pPr>
        <w:rPr>
          <w:rFonts w:ascii="Book Antiqua" w:hAnsi="Book Antiqua" w:cs="Cambria"/>
          <w:color w:val="000000"/>
        </w:rPr>
      </w:pPr>
      <w:r>
        <w:rPr>
          <w:rFonts w:ascii="Book Antiqua" w:hAnsi="Book Antiqua"/>
        </w:rPr>
        <w:br w:type="page"/>
      </w:r>
    </w:p>
    <w:p w:rsidR="004911CC" w:rsidRPr="00423107" w:rsidRDefault="004911CC" w:rsidP="004911CC">
      <w:pPr>
        <w:pStyle w:val="Default"/>
        <w:ind w:left="360"/>
        <w:jc w:val="both"/>
        <w:rPr>
          <w:rFonts w:ascii="Book Antiqua" w:hAnsi="Book Antiqua"/>
          <w:sz w:val="22"/>
          <w:szCs w:val="22"/>
        </w:rPr>
      </w:pPr>
    </w:p>
    <w:p w:rsidR="006A2D7F" w:rsidRPr="00423107" w:rsidRDefault="005271DD" w:rsidP="00AA3D6C">
      <w:pPr>
        <w:pStyle w:val="Default"/>
        <w:numPr>
          <w:ilvl w:val="0"/>
          <w:numId w:val="1"/>
        </w:numPr>
        <w:jc w:val="both"/>
        <w:rPr>
          <w:rFonts w:ascii="Book Antiqua" w:hAnsi="Book Antiqua"/>
          <w:b/>
          <w:bCs/>
          <w:sz w:val="22"/>
          <w:szCs w:val="22"/>
          <w:u w:val="single"/>
        </w:rPr>
      </w:pPr>
      <w:r w:rsidRPr="00423107">
        <w:rPr>
          <w:rFonts w:ascii="Book Antiqua" w:hAnsi="Book Antiqua"/>
          <w:b/>
          <w:bCs/>
          <w:sz w:val="22"/>
          <w:szCs w:val="22"/>
          <w:u w:val="single"/>
        </w:rPr>
        <w:t>POLICY</w:t>
      </w:r>
      <w:r w:rsidR="006A2D7F" w:rsidRPr="00423107">
        <w:rPr>
          <w:rFonts w:ascii="Book Antiqua" w:hAnsi="Book Antiqua"/>
          <w:b/>
          <w:bCs/>
          <w:sz w:val="22"/>
          <w:szCs w:val="22"/>
          <w:u w:val="single"/>
        </w:rPr>
        <w:t>:</w:t>
      </w:r>
    </w:p>
    <w:p w:rsidR="006A2D7F" w:rsidRPr="00423107" w:rsidRDefault="006A2D7F" w:rsidP="00A66E2B">
      <w:pPr>
        <w:pStyle w:val="Default"/>
        <w:jc w:val="both"/>
        <w:rPr>
          <w:rFonts w:ascii="Book Antiqua" w:hAnsi="Book Antiqua"/>
          <w:b/>
          <w:bCs/>
          <w:sz w:val="22"/>
          <w:szCs w:val="22"/>
          <w:u w:val="single"/>
        </w:rPr>
      </w:pPr>
    </w:p>
    <w:p w:rsidR="00C60445" w:rsidRPr="00423107" w:rsidRDefault="00C60445" w:rsidP="00000062">
      <w:pPr>
        <w:pStyle w:val="ListParagraph"/>
        <w:numPr>
          <w:ilvl w:val="0"/>
          <w:numId w:val="11"/>
        </w:numPr>
        <w:autoSpaceDE w:val="0"/>
        <w:autoSpaceDN w:val="0"/>
        <w:adjustRightInd w:val="0"/>
        <w:spacing w:after="0" w:line="240" w:lineRule="auto"/>
        <w:jc w:val="both"/>
        <w:rPr>
          <w:rFonts w:ascii="Book Antiqua" w:hAnsi="Book Antiqua" w:cs="BookAntiqua-Bold"/>
          <w:b/>
          <w:bCs/>
          <w:u w:val="single"/>
        </w:rPr>
      </w:pPr>
      <w:r w:rsidRPr="00423107">
        <w:rPr>
          <w:rFonts w:ascii="Book Antiqua" w:hAnsi="Book Antiqua" w:cs="BookAntiqua-Bold"/>
          <w:b/>
          <w:bCs/>
          <w:u w:val="single"/>
        </w:rPr>
        <w:t>Type Of Transactions Covered</w:t>
      </w:r>
    </w:p>
    <w:p w:rsidR="00C60445" w:rsidRPr="00423107" w:rsidRDefault="00C60445" w:rsidP="00C60445">
      <w:pPr>
        <w:autoSpaceDE w:val="0"/>
        <w:autoSpaceDN w:val="0"/>
        <w:adjustRightInd w:val="0"/>
        <w:spacing w:after="0" w:line="240" w:lineRule="auto"/>
        <w:jc w:val="both"/>
        <w:rPr>
          <w:rFonts w:ascii="Book Antiqua" w:hAnsi="Book Antiqua" w:cs="BookAntiqua"/>
        </w:rPr>
      </w:pPr>
    </w:p>
    <w:p w:rsidR="00C60445" w:rsidRPr="00423107" w:rsidRDefault="00C60445" w:rsidP="001D31E0">
      <w:pPr>
        <w:pStyle w:val="ListParagraph"/>
        <w:numPr>
          <w:ilvl w:val="1"/>
          <w:numId w:val="16"/>
        </w:numPr>
        <w:autoSpaceDE w:val="0"/>
        <w:autoSpaceDN w:val="0"/>
        <w:adjustRightInd w:val="0"/>
        <w:spacing w:after="0" w:line="240" w:lineRule="auto"/>
        <w:ind w:left="1080"/>
        <w:jc w:val="both"/>
        <w:rPr>
          <w:rFonts w:ascii="Book Antiqua" w:hAnsi="Book Antiqua" w:cs="BookAntiqua"/>
          <w:u w:val="single"/>
        </w:rPr>
      </w:pPr>
      <w:r w:rsidRPr="00423107">
        <w:rPr>
          <w:rFonts w:ascii="Book Antiqua" w:hAnsi="Book Antiqua" w:cs="BookAntiqua"/>
          <w:u w:val="single"/>
        </w:rPr>
        <w:t xml:space="preserve">Under Section 188 of the Companies Act, 2013 , following transactions will be covered </w:t>
      </w:r>
    </w:p>
    <w:p w:rsidR="001D31E0" w:rsidRPr="00423107" w:rsidRDefault="001D31E0" w:rsidP="001D31E0">
      <w:pPr>
        <w:pStyle w:val="ListParagraph"/>
        <w:autoSpaceDE w:val="0"/>
        <w:autoSpaceDN w:val="0"/>
        <w:adjustRightInd w:val="0"/>
        <w:spacing w:after="0" w:line="240" w:lineRule="auto"/>
        <w:ind w:left="1080"/>
        <w:jc w:val="both"/>
        <w:rPr>
          <w:rFonts w:ascii="Book Antiqua" w:hAnsi="Book Antiqua" w:cs="BookAntiqua"/>
          <w:u w:val="single"/>
        </w:rPr>
      </w:pPr>
    </w:p>
    <w:p w:rsidR="00C60445" w:rsidRPr="00423107" w:rsidRDefault="00C60445" w:rsidP="001D31E0">
      <w:pPr>
        <w:pStyle w:val="ListParagraph"/>
        <w:numPr>
          <w:ilvl w:val="0"/>
          <w:numId w:val="15"/>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Sale, purchase or supply of any goods or materials;</w:t>
      </w:r>
    </w:p>
    <w:p w:rsidR="00C60445" w:rsidRPr="00423107" w:rsidRDefault="00C60445" w:rsidP="001D31E0">
      <w:pPr>
        <w:pStyle w:val="ListParagraph"/>
        <w:numPr>
          <w:ilvl w:val="0"/>
          <w:numId w:val="15"/>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selling or otherwise disposing of, or buying, property of any kind;</w:t>
      </w:r>
    </w:p>
    <w:p w:rsidR="00C60445" w:rsidRPr="00423107" w:rsidRDefault="00C60445" w:rsidP="001D31E0">
      <w:pPr>
        <w:pStyle w:val="ListParagraph"/>
        <w:numPr>
          <w:ilvl w:val="0"/>
          <w:numId w:val="15"/>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leasing of property of any kind;</w:t>
      </w:r>
    </w:p>
    <w:p w:rsidR="00C60445" w:rsidRPr="00423107" w:rsidRDefault="00C60445" w:rsidP="001D31E0">
      <w:pPr>
        <w:pStyle w:val="ListParagraph"/>
        <w:numPr>
          <w:ilvl w:val="0"/>
          <w:numId w:val="15"/>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availing or rendering of any services;</w:t>
      </w:r>
    </w:p>
    <w:p w:rsidR="00C60445" w:rsidRPr="00423107" w:rsidRDefault="00C60445" w:rsidP="001D31E0">
      <w:pPr>
        <w:pStyle w:val="ListParagraph"/>
        <w:numPr>
          <w:ilvl w:val="0"/>
          <w:numId w:val="15"/>
        </w:numPr>
        <w:autoSpaceDE w:val="0"/>
        <w:autoSpaceDN w:val="0"/>
        <w:adjustRightInd w:val="0"/>
        <w:spacing w:after="0" w:line="240" w:lineRule="auto"/>
        <w:ind w:left="1440"/>
        <w:jc w:val="both"/>
        <w:rPr>
          <w:rFonts w:ascii="Book Antiqua" w:hAnsi="Book Antiqua" w:cs="BookAntiqua"/>
        </w:rPr>
      </w:pPr>
      <w:proofErr w:type="gramStart"/>
      <w:r w:rsidRPr="00423107">
        <w:rPr>
          <w:rFonts w:ascii="Book Antiqua" w:hAnsi="Book Antiqua" w:cs="BookAntiqua"/>
        </w:rPr>
        <w:t>appointment</w:t>
      </w:r>
      <w:proofErr w:type="gramEnd"/>
      <w:r w:rsidRPr="00423107">
        <w:rPr>
          <w:rFonts w:ascii="Book Antiqua" w:hAnsi="Book Antiqua" w:cs="BookAntiqua"/>
        </w:rPr>
        <w:t xml:space="preserve"> of any agent for purchase or sale of goods, materials, services or property etc.</w:t>
      </w:r>
    </w:p>
    <w:p w:rsidR="00C60445" w:rsidRPr="00423107" w:rsidRDefault="00C60445" w:rsidP="001D31E0">
      <w:pPr>
        <w:pStyle w:val="ListParagraph"/>
        <w:numPr>
          <w:ilvl w:val="0"/>
          <w:numId w:val="15"/>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such related party's appointment to any office or place of profit in the company, its subsidiary company or associate company;</w:t>
      </w:r>
    </w:p>
    <w:p w:rsidR="00C60445" w:rsidRPr="00423107" w:rsidRDefault="00C60445" w:rsidP="001D31E0">
      <w:pPr>
        <w:pStyle w:val="ListParagraph"/>
        <w:numPr>
          <w:ilvl w:val="0"/>
          <w:numId w:val="15"/>
        </w:numPr>
        <w:autoSpaceDE w:val="0"/>
        <w:autoSpaceDN w:val="0"/>
        <w:adjustRightInd w:val="0"/>
        <w:spacing w:after="0" w:line="240" w:lineRule="auto"/>
        <w:ind w:left="1440"/>
        <w:jc w:val="both"/>
        <w:rPr>
          <w:rFonts w:ascii="Book Antiqua" w:hAnsi="Book Antiqua" w:cs="BookAntiqua"/>
        </w:rPr>
      </w:pPr>
      <w:proofErr w:type="gramStart"/>
      <w:r w:rsidRPr="00423107">
        <w:rPr>
          <w:rFonts w:ascii="Book Antiqua" w:hAnsi="Book Antiqua" w:cs="BookAntiqua"/>
        </w:rPr>
        <w:t>underwriting</w:t>
      </w:r>
      <w:proofErr w:type="gramEnd"/>
      <w:r w:rsidRPr="00423107">
        <w:rPr>
          <w:rFonts w:ascii="Book Antiqua" w:hAnsi="Book Antiqua" w:cs="BookAntiqua"/>
        </w:rPr>
        <w:t xml:space="preserve"> the subscription of any securities or derivatives thereof, of the company.</w:t>
      </w:r>
    </w:p>
    <w:p w:rsidR="00C60445" w:rsidRPr="00423107" w:rsidRDefault="00C60445" w:rsidP="00C60445">
      <w:pPr>
        <w:autoSpaceDE w:val="0"/>
        <w:autoSpaceDN w:val="0"/>
        <w:adjustRightInd w:val="0"/>
        <w:spacing w:after="0" w:line="240" w:lineRule="auto"/>
        <w:jc w:val="both"/>
        <w:rPr>
          <w:rFonts w:ascii="Book Antiqua" w:hAnsi="Book Antiqua" w:cs="BookAntiqua"/>
        </w:rPr>
      </w:pPr>
    </w:p>
    <w:p w:rsidR="00182674" w:rsidRDefault="00C60445" w:rsidP="00182674">
      <w:pPr>
        <w:pStyle w:val="ListParagraph"/>
        <w:numPr>
          <w:ilvl w:val="1"/>
          <w:numId w:val="16"/>
        </w:numPr>
        <w:autoSpaceDE w:val="0"/>
        <w:autoSpaceDN w:val="0"/>
        <w:adjustRightInd w:val="0"/>
        <w:spacing w:after="0" w:line="240" w:lineRule="auto"/>
        <w:ind w:left="1080"/>
        <w:jc w:val="both"/>
        <w:rPr>
          <w:rFonts w:ascii="Book Antiqua" w:hAnsi="Book Antiqua" w:cs="BookAntiqua"/>
          <w:u w:val="single"/>
        </w:rPr>
      </w:pPr>
      <w:r w:rsidRPr="00423107">
        <w:rPr>
          <w:rFonts w:ascii="Book Antiqua" w:hAnsi="Book Antiqua" w:cs="BookAntiqua"/>
          <w:u w:val="single"/>
        </w:rPr>
        <w:t xml:space="preserve">Under Clause 49 of Listing Agreement, following shall be covered </w:t>
      </w:r>
      <w:r w:rsidR="001D31E0" w:rsidRPr="00423107">
        <w:rPr>
          <w:rFonts w:ascii="Book Antiqua" w:hAnsi="Book Antiqua" w:cs="BookAntiqua"/>
          <w:u w:val="single"/>
        </w:rPr>
        <w:t>–</w:t>
      </w:r>
    </w:p>
    <w:p w:rsidR="00182674" w:rsidRDefault="00182674" w:rsidP="00182674">
      <w:pPr>
        <w:pStyle w:val="ListParagraph"/>
        <w:autoSpaceDE w:val="0"/>
        <w:autoSpaceDN w:val="0"/>
        <w:adjustRightInd w:val="0"/>
        <w:spacing w:after="0" w:line="240" w:lineRule="auto"/>
        <w:ind w:left="1080"/>
        <w:jc w:val="both"/>
        <w:rPr>
          <w:rFonts w:ascii="Book Antiqua" w:hAnsi="Book Antiqua" w:cs="BookAntiqua"/>
          <w:u w:val="single"/>
        </w:rPr>
      </w:pPr>
    </w:p>
    <w:p w:rsidR="00C60445" w:rsidRPr="00182674" w:rsidRDefault="00C60445" w:rsidP="00182674">
      <w:pPr>
        <w:pStyle w:val="ListParagraph"/>
        <w:autoSpaceDE w:val="0"/>
        <w:autoSpaceDN w:val="0"/>
        <w:adjustRightInd w:val="0"/>
        <w:spacing w:after="0" w:line="240" w:lineRule="auto"/>
        <w:ind w:left="1080"/>
        <w:jc w:val="both"/>
        <w:rPr>
          <w:rFonts w:ascii="Book Antiqua" w:hAnsi="Book Antiqua" w:cs="BookAntiqua"/>
          <w:u w:val="single"/>
        </w:rPr>
      </w:pPr>
      <w:r w:rsidRPr="00182674">
        <w:rPr>
          <w:rFonts w:ascii="Book Antiqua" w:hAnsi="Book Antiqua" w:cs="BookAntiqua"/>
        </w:rPr>
        <w:t>Transfer of resources, services or obligations between a Company and a related party, regardless</w:t>
      </w:r>
      <w:r w:rsidR="001D31E0" w:rsidRPr="00182674">
        <w:rPr>
          <w:rFonts w:ascii="Book Antiqua" w:hAnsi="Book Antiqua" w:cs="BookAntiqua"/>
        </w:rPr>
        <w:t xml:space="preserve"> </w:t>
      </w:r>
      <w:r w:rsidRPr="00182674">
        <w:rPr>
          <w:rFonts w:ascii="Book Antiqua" w:hAnsi="Book Antiqua" w:cs="BookAntiqua"/>
        </w:rPr>
        <w:t>of whether a price is charged.</w:t>
      </w:r>
    </w:p>
    <w:p w:rsidR="001D31E0" w:rsidRPr="00423107" w:rsidRDefault="001D31E0" w:rsidP="001D31E0">
      <w:pPr>
        <w:pStyle w:val="ListParagraph"/>
        <w:autoSpaceDE w:val="0"/>
        <w:autoSpaceDN w:val="0"/>
        <w:adjustRightInd w:val="0"/>
        <w:spacing w:after="0" w:line="240" w:lineRule="auto"/>
        <w:ind w:left="1080"/>
        <w:jc w:val="both"/>
        <w:rPr>
          <w:rFonts w:ascii="Book Antiqua" w:hAnsi="Book Antiqua" w:cs="BookAntiqua"/>
        </w:rPr>
      </w:pPr>
    </w:p>
    <w:p w:rsidR="00C60445" w:rsidRPr="00423107" w:rsidRDefault="00C60445" w:rsidP="001D31E0">
      <w:pPr>
        <w:pStyle w:val="ListParagraph"/>
        <w:numPr>
          <w:ilvl w:val="1"/>
          <w:numId w:val="16"/>
        </w:numPr>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Under Accounting Standard 18, all transactions involving transfer of resources or obligations between related parties, regardless of whether or not a price is charged. To name a few, following will covered –</w:t>
      </w:r>
    </w:p>
    <w:p w:rsidR="001D31E0" w:rsidRPr="00423107" w:rsidRDefault="001D31E0" w:rsidP="001D31E0">
      <w:pPr>
        <w:pStyle w:val="ListParagraph"/>
        <w:autoSpaceDE w:val="0"/>
        <w:autoSpaceDN w:val="0"/>
        <w:adjustRightInd w:val="0"/>
        <w:spacing w:after="0" w:line="240" w:lineRule="auto"/>
        <w:ind w:left="1080"/>
        <w:jc w:val="both"/>
        <w:rPr>
          <w:rFonts w:ascii="Book Antiqua" w:hAnsi="Book Antiqua" w:cs="BookAntiqua"/>
        </w:rPr>
      </w:pP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purchases or sales of goods;</w:t>
      </w: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purchases or sales of fixed assets;</w:t>
      </w: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rendering or receiving of services;</w:t>
      </w: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agency arrangements;</w:t>
      </w: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leasing or hire purchase arrangements</w:t>
      </w: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proofErr w:type="gramStart"/>
      <w:r w:rsidRPr="00423107">
        <w:rPr>
          <w:rFonts w:ascii="Book Antiqua" w:hAnsi="Book Antiqua" w:cs="BookAntiqua"/>
        </w:rPr>
        <w:t>transfer</w:t>
      </w:r>
      <w:proofErr w:type="gramEnd"/>
      <w:r w:rsidRPr="00423107">
        <w:rPr>
          <w:rFonts w:ascii="Book Antiqua" w:hAnsi="Book Antiqua" w:cs="BookAntiqua"/>
        </w:rPr>
        <w:t xml:space="preserve"> of research and development.</w:t>
      </w: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proofErr w:type="gramStart"/>
      <w:r w:rsidRPr="00423107">
        <w:rPr>
          <w:rFonts w:ascii="Book Antiqua" w:hAnsi="Book Antiqua" w:cs="BookAntiqua"/>
        </w:rPr>
        <w:t>license</w:t>
      </w:r>
      <w:proofErr w:type="gramEnd"/>
      <w:r w:rsidRPr="00423107">
        <w:rPr>
          <w:rFonts w:ascii="Book Antiqua" w:hAnsi="Book Antiqua" w:cs="BookAntiqua"/>
        </w:rPr>
        <w:t xml:space="preserve"> agreements.</w:t>
      </w: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proofErr w:type="gramStart"/>
      <w:r w:rsidRPr="00423107">
        <w:rPr>
          <w:rFonts w:ascii="Book Antiqua" w:hAnsi="Book Antiqua" w:cs="BookAntiqua"/>
        </w:rPr>
        <w:t>finance</w:t>
      </w:r>
      <w:proofErr w:type="gramEnd"/>
      <w:r w:rsidRPr="00423107">
        <w:rPr>
          <w:rFonts w:ascii="Book Antiqua" w:hAnsi="Book Antiqua" w:cs="BookAntiqua"/>
        </w:rPr>
        <w:t xml:space="preserve"> (including loans and equity contributions in</w:t>
      </w:r>
      <w:r w:rsidR="000C0ED9" w:rsidRPr="00423107">
        <w:rPr>
          <w:rFonts w:ascii="Book Antiqua" w:hAnsi="Book Antiqua" w:cs="BookAntiqua"/>
        </w:rPr>
        <w:t>-</w:t>
      </w:r>
      <w:r w:rsidRPr="00423107">
        <w:rPr>
          <w:rFonts w:ascii="Book Antiqua" w:hAnsi="Book Antiqua" w:cs="BookAntiqua"/>
        </w:rPr>
        <w:t>cash or in kind).</w:t>
      </w: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proofErr w:type="gramStart"/>
      <w:r w:rsidRPr="00423107">
        <w:rPr>
          <w:rFonts w:ascii="Book Antiqua" w:hAnsi="Book Antiqua" w:cs="BookAntiqua"/>
        </w:rPr>
        <w:t>guarantees</w:t>
      </w:r>
      <w:proofErr w:type="gramEnd"/>
      <w:r w:rsidRPr="00423107">
        <w:rPr>
          <w:rFonts w:ascii="Book Antiqua" w:hAnsi="Book Antiqua" w:cs="BookAntiqua"/>
        </w:rPr>
        <w:t xml:space="preserve"> and collaterals.</w:t>
      </w:r>
    </w:p>
    <w:p w:rsidR="00C60445" w:rsidRPr="00423107" w:rsidRDefault="00C60445" w:rsidP="001D31E0">
      <w:pPr>
        <w:pStyle w:val="ListParagraph"/>
        <w:numPr>
          <w:ilvl w:val="0"/>
          <w:numId w:val="19"/>
        </w:numPr>
        <w:autoSpaceDE w:val="0"/>
        <w:autoSpaceDN w:val="0"/>
        <w:adjustRightInd w:val="0"/>
        <w:spacing w:after="0" w:line="240" w:lineRule="auto"/>
        <w:ind w:left="1440"/>
        <w:jc w:val="both"/>
        <w:rPr>
          <w:rFonts w:ascii="Book Antiqua" w:hAnsi="Book Antiqua" w:cs="BookAntiqua"/>
        </w:rPr>
      </w:pPr>
      <w:proofErr w:type="gramStart"/>
      <w:r w:rsidRPr="00423107">
        <w:rPr>
          <w:rFonts w:ascii="Book Antiqua" w:hAnsi="Book Antiqua" w:cs="BookAntiqua"/>
        </w:rPr>
        <w:t>management</w:t>
      </w:r>
      <w:proofErr w:type="gramEnd"/>
      <w:r w:rsidRPr="00423107">
        <w:rPr>
          <w:rFonts w:ascii="Book Antiqua" w:hAnsi="Book Antiqua" w:cs="BookAntiqua"/>
        </w:rPr>
        <w:t xml:space="preserve"> contracts including for deputation of employees.</w:t>
      </w:r>
    </w:p>
    <w:p w:rsidR="00C60445" w:rsidRPr="00423107" w:rsidRDefault="00C60445" w:rsidP="00C60445">
      <w:pPr>
        <w:autoSpaceDE w:val="0"/>
        <w:autoSpaceDN w:val="0"/>
        <w:adjustRightInd w:val="0"/>
        <w:spacing w:after="0" w:line="240" w:lineRule="auto"/>
        <w:jc w:val="both"/>
        <w:rPr>
          <w:rFonts w:ascii="Book Antiqua" w:hAnsi="Book Antiqua" w:cs="BookAntiqua-Bold"/>
          <w:b/>
          <w:bCs/>
        </w:rPr>
      </w:pPr>
    </w:p>
    <w:p w:rsidR="00DF31F4" w:rsidRPr="00423107" w:rsidRDefault="00DF31F4" w:rsidP="001D31E0">
      <w:pPr>
        <w:pStyle w:val="ListParagraph"/>
        <w:numPr>
          <w:ilvl w:val="0"/>
          <w:numId w:val="11"/>
        </w:numPr>
        <w:autoSpaceDE w:val="0"/>
        <w:autoSpaceDN w:val="0"/>
        <w:adjustRightInd w:val="0"/>
        <w:spacing w:after="0" w:line="240" w:lineRule="auto"/>
        <w:jc w:val="both"/>
        <w:rPr>
          <w:rFonts w:ascii="Book Antiqua" w:hAnsi="Book Antiqua"/>
          <w:u w:val="single"/>
        </w:rPr>
      </w:pPr>
      <w:r w:rsidRPr="00423107">
        <w:rPr>
          <w:rFonts w:ascii="Book Antiqua" w:hAnsi="Book Antiqua"/>
          <w:b/>
          <w:bCs/>
          <w:u w:val="single"/>
        </w:rPr>
        <w:t xml:space="preserve">Identification of Potential Related Party Transactions </w:t>
      </w:r>
    </w:p>
    <w:p w:rsidR="00DF31F4" w:rsidRPr="00423107" w:rsidRDefault="00DF31F4" w:rsidP="00DF31F4">
      <w:pPr>
        <w:pStyle w:val="Default"/>
        <w:jc w:val="both"/>
        <w:rPr>
          <w:rFonts w:ascii="Book Antiqua" w:hAnsi="Book Antiqua"/>
          <w:sz w:val="22"/>
          <w:szCs w:val="22"/>
        </w:rPr>
      </w:pPr>
    </w:p>
    <w:p w:rsidR="00C60445" w:rsidRPr="00423107" w:rsidRDefault="00DF31F4" w:rsidP="00E549CB">
      <w:pPr>
        <w:pStyle w:val="Default"/>
        <w:ind w:left="720"/>
        <w:jc w:val="both"/>
        <w:rPr>
          <w:rFonts w:ascii="Book Antiqua" w:hAnsi="Book Antiqua" w:cs="BookAntiqua-Bold"/>
          <w:bCs/>
          <w:sz w:val="22"/>
          <w:szCs w:val="22"/>
        </w:rPr>
      </w:pPr>
      <w:r w:rsidRPr="00423107">
        <w:rPr>
          <w:rFonts w:ascii="Book Antiqua" w:hAnsi="Book Antiqua"/>
          <w:sz w:val="22"/>
          <w:szCs w:val="22"/>
        </w:rPr>
        <w:t xml:space="preserve">Each Director and KMP shall disclose to the Company </w:t>
      </w:r>
      <w:r w:rsidR="00C029E5" w:rsidRPr="00423107">
        <w:rPr>
          <w:rFonts w:ascii="Book Antiqua" w:hAnsi="Book Antiqua"/>
          <w:sz w:val="22"/>
          <w:szCs w:val="22"/>
        </w:rPr>
        <w:t>t</w:t>
      </w:r>
      <w:r w:rsidR="001D31E0" w:rsidRPr="00423107">
        <w:rPr>
          <w:rFonts w:ascii="Book Antiqua" w:hAnsi="Book Antiqua" w:cs="BookAntiqua-Bold"/>
          <w:bCs/>
          <w:sz w:val="22"/>
          <w:szCs w:val="22"/>
        </w:rPr>
        <w:t>he following details</w:t>
      </w:r>
      <w:r w:rsidR="00C029E5" w:rsidRPr="00423107">
        <w:rPr>
          <w:rFonts w:ascii="Book Antiqua" w:hAnsi="Book Antiqua" w:cs="BookAntiqua-Bold"/>
          <w:bCs/>
          <w:sz w:val="22"/>
          <w:szCs w:val="22"/>
        </w:rPr>
        <w:t>:</w:t>
      </w:r>
    </w:p>
    <w:p w:rsidR="00E549CB" w:rsidRPr="00423107" w:rsidRDefault="00E549CB" w:rsidP="00E549CB">
      <w:pPr>
        <w:pStyle w:val="Default"/>
        <w:ind w:left="1440"/>
        <w:jc w:val="both"/>
        <w:rPr>
          <w:rFonts w:ascii="Book Antiqua" w:hAnsi="Book Antiqua" w:cs="BookAntiqua-Bold"/>
          <w:bCs/>
          <w:sz w:val="22"/>
          <w:szCs w:val="22"/>
        </w:rPr>
      </w:pP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Declaration/Disclosure of interest by all the Directors and KMPs’ in form MBP-1.</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Declaration of relatives by all Directors and KMPs’.</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Declaration about a firm in which a Director/ Manager or his relative is a partner.</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Declaration about a private Company in which a Director or Manager or his relative is a member or director.</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Declaration regarding a public company in which a Director or manager is a Director and holds along with the relatives more than 2% of the paid-up share capital.</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Notices from Directors of any change in particulars of Directorship or in other positions during the year.</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Declaration by Holding Company regarding its Directors/KMPs’ and their relatives.</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lastRenderedPageBreak/>
        <w:t>Details of any body corporate whose Board of Directors, managing director or manager is accustomed to act in accordance with the advice, directions or instructions of a director or manager of the Company.</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Details of any person on whose advice, directions or instructions a director or manager is accustomed to act:</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Provided that nothing in point no.</w:t>
      </w:r>
      <w:r w:rsidR="00E549CB" w:rsidRPr="00423107">
        <w:rPr>
          <w:rFonts w:ascii="Book Antiqua" w:hAnsi="Book Antiqua" w:cs="BookAntiqua"/>
        </w:rPr>
        <w:t xml:space="preserve"> </w:t>
      </w:r>
      <w:r w:rsidRPr="00423107">
        <w:rPr>
          <w:rFonts w:ascii="Book Antiqua" w:hAnsi="Book Antiqua" w:cs="BookAntiqua"/>
        </w:rPr>
        <w:t>8</w:t>
      </w:r>
      <w:r w:rsidR="00E549CB" w:rsidRPr="00423107">
        <w:rPr>
          <w:rFonts w:ascii="Book Antiqua" w:hAnsi="Book Antiqua" w:cs="BookAntiqua"/>
        </w:rPr>
        <w:t xml:space="preserve"> </w:t>
      </w:r>
      <w:r w:rsidRPr="00423107">
        <w:rPr>
          <w:rFonts w:ascii="Book Antiqua" w:hAnsi="Book Antiqua" w:cs="BookAntiqua"/>
        </w:rPr>
        <w:t>&amp; 9 shall apply to the advice, directions or instructions given in a professional capacity.</w:t>
      </w:r>
    </w:p>
    <w:p w:rsidR="00C60445" w:rsidRPr="00423107" w:rsidRDefault="00C60445" w:rsidP="00E549CB">
      <w:pPr>
        <w:pStyle w:val="ListParagraph"/>
        <w:numPr>
          <w:ilvl w:val="0"/>
          <w:numId w:val="22"/>
        </w:numPr>
        <w:tabs>
          <w:tab w:val="left" w:pos="1080"/>
        </w:tabs>
        <w:autoSpaceDE w:val="0"/>
        <w:autoSpaceDN w:val="0"/>
        <w:adjustRightInd w:val="0"/>
        <w:spacing w:after="0" w:line="240" w:lineRule="auto"/>
        <w:ind w:left="1080"/>
        <w:jc w:val="both"/>
        <w:rPr>
          <w:rFonts w:ascii="Book Antiqua" w:hAnsi="Book Antiqua" w:cs="BookAntiqua"/>
        </w:rPr>
      </w:pPr>
      <w:r w:rsidRPr="00423107">
        <w:rPr>
          <w:rFonts w:ascii="Book Antiqua" w:hAnsi="Book Antiqua" w:cs="BookAntiqua"/>
        </w:rPr>
        <w:t>Details of any Company which is</w:t>
      </w:r>
    </w:p>
    <w:p w:rsidR="00C60445" w:rsidRPr="00423107" w:rsidRDefault="00C60445" w:rsidP="00E549CB">
      <w:pPr>
        <w:pStyle w:val="ListParagraph"/>
        <w:numPr>
          <w:ilvl w:val="0"/>
          <w:numId w:val="23"/>
        </w:numPr>
        <w:autoSpaceDE w:val="0"/>
        <w:autoSpaceDN w:val="0"/>
        <w:adjustRightInd w:val="0"/>
        <w:spacing w:after="0" w:line="240" w:lineRule="auto"/>
        <w:ind w:left="1440"/>
        <w:jc w:val="both"/>
        <w:rPr>
          <w:rFonts w:ascii="Book Antiqua" w:hAnsi="Book Antiqua" w:cs="BookAntiqua"/>
        </w:rPr>
      </w:pPr>
      <w:r w:rsidRPr="00423107">
        <w:rPr>
          <w:rFonts w:ascii="Book Antiqua" w:hAnsi="Book Antiqua" w:cs="BookAntiqua"/>
        </w:rPr>
        <w:t>a holding, subsidiary or an associate company of such company; or</w:t>
      </w:r>
    </w:p>
    <w:p w:rsidR="00C60445" w:rsidRPr="00423107" w:rsidRDefault="00C60445" w:rsidP="00E549CB">
      <w:pPr>
        <w:pStyle w:val="ListParagraph"/>
        <w:numPr>
          <w:ilvl w:val="0"/>
          <w:numId w:val="23"/>
        </w:numPr>
        <w:autoSpaceDE w:val="0"/>
        <w:autoSpaceDN w:val="0"/>
        <w:adjustRightInd w:val="0"/>
        <w:spacing w:after="0" w:line="240" w:lineRule="auto"/>
        <w:ind w:left="1440"/>
        <w:jc w:val="both"/>
        <w:rPr>
          <w:rFonts w:ascii="Book Antiqua" w:hAnsi="Book Antiqua" w:cs="BookAntiqua"/>
        </w:rPr>
      </w:pPr>
      <w:proofErr w:type="gramStart"/>
      <w:r w:rsidRPr="00423107">
        <w:rPr>
          <w:rFonts w:ascii="Book Antiqua" w:hAnsi="Book Antiqua" w:cs="BookAntiqua"/>
        </w:rPr>
        <w:t>a</w:t>
      </w:r>
      <w:proofErr w:type="gramEnd"/>
      <w:r w:rsidRPr="00423107">
        <w:rPr>
          <w:rFonts w:ascii="Book Antiqua" w:hAnsi="Book Antiqua" w:cs="BookAntiqua"/>
        </w:rPr>
        <w:t xml:space="preserve"> subsidiary of a holding company to which it is also a subsidiary.</w:t>
      </w:r>
    </w:p>
    <w:p w:rsidR="00C029E5" w:rsidRPr="00423107" w:rsidRDefault="00C029E5" w:rsidP="00E549CB">
      <w:pPr>
        <w:autoSpaceDE w:val="0"/>
        <w:autoSpaceDN w:val="0"/>
        <w:adjustRightInd w:val="0"/>
        <w:spacing w:after="0" w:line="240" w:lineRule="auto"/>
        <w:ind w:left="720"/>
        <w:jc w:val="both"/>
        <w:rPr>
          <w:rFonts w:ascii="Book Antiqua" w:hAnsi="Book Antiqua" w:cs="BookAntiqua-Bold"/>
          <w:b/>
          <w:bCs/>
        </w:rPr>
      </w:pPr>
    </w:p>
    <w:p w:rsidR="00C029E5" w:rsidRPr="00423107" w:rsidRDefault="00E3115C" w:rsidP="00E549CB">
      <w:pPr>
        <w:tabs>
          <w:tab w:val="left" w:pos="450"/>
        </w:tabs>
        <w:autoSpaceDE w:val="0"/>
        <w:autoSpaceDN w:val="0"/>
        <w:adjustRightInd w:val="0"/>
        <w:spacing w:after="0" w:line="240" w:lineRule="auto"/>
        <w:ind w:left="720"/>
        <w:jc w:val="both"/>
        <w:rPr>
          <w:rFonts w:ascii="Book Antiqua" w:hAnsi="Book Antiqua" w:cs="BookAntiqua"/>
        </w:rPr>
      </w:pPr>
      <w:r w:rsidRPr="00423107">
        <w:rPr>
          <w:rFonts w:ascii="Book Antiqua" w:hAnsi="Book Antiqua" w:cs="BookAntiqua"/>
        </w:rPr>
        <w:t xml:space="preserve">Any of the Director </w:t>
      </w:r>
      <w:r w:rsidR="00C029E5" w:rsidRPr="00423107">
        <w:rPr>
          <w:rFonts w:ascii="Book Antiqua" w:hAnsi="Book Antiqua" w:cs="BookAntiqua"/>
        </w:rPr>
        <w:t>to prepare the list of Related Parties on the basis of aforesaid information and record in register of Contracts/arrangement etc. as per the Section 189 of the Companies Act, 2013 and Rules thereof as.</w:t>
      </w:r>
    </w:p>
    <w:p w:rsidR="00C029E5" w:rsidRPr="00423107" w:rsidRDefault="00C029E5" w:rsidP="00E549CB">
      <w:pPr>
        <w:tabs>
          <w:tab w:val="left" w:pos="450"/>
        </w:tabs>
        <w:autoSpaceDE w:val="0"/>
        <w:autoSpaceDN w:val="0"/>
        <w:adjustRightInd w:val="0"/>
        <w:spacing w:after="0" w:line="240" w:lineRule="auto"/>
        <w:ind w:left="720"/>
        <w:jc w:val="both"/>
        <w:rPr>
          <w:rFonts w:ascii="Book Antiqua" w:hAnsi="Book Antiqua" w:cs="BookAntiqua-Bold"/>
          <w:b/>
          <w:bCs/>
        </w:rPr>
      </w:pPr>
    </w:p>
    <w:p w:rsidR="00C029E5" w:rsidRPr="00423107" w:rsidRDefault="00C029E5" w:rsidP="00E549CB">
      <w:pPr>
        <w:tabs>
          <w:tab w:val="left" w:pos="450"/>
        </w:tabs>
        <w:autoSpaceDE w:val="0"/>
        <w:autoSpaceDN w:val="0"/>
        <w:adjustRightInd w:val="0"/>
        <w:spacing w:after="0" w:line="240" w:lineRule="auto"/>
        <w:ind w:left="720"/>
        <w:jc w:val="both"/>
        <w:rPr>
          <w:rFonts w:ascii="Book Antiqua" w:hAnsi="Book Antiqua" w:cs="BookAntiqua"/>
        </w:rPr>
      </w:pPr>
      <w:r w:rsidRPr="00423107">
        <w:rPr>
          <w:rFonts w:ascii="Book Antiqua" w:hAnsi="Book Antiqua" w:cs="BookAntiqua"/>
        </w:rPr>
        <w:t>The aforesaid list shall be circulated to MD /CEO</w:t>
      </w:r>
      <w:r w:rsidR="000C0ED9" w:rsidRPr="00423107">
        <w:rPr>
          <w:rFonts w:ascii="Book Antiqua" w:hAnsi="Book Antiqua" w:cs="BookAntiqua"/>
        </w:rPr>
        <w:t xml:space="preserve">’s/COO’s/ED/CFO/Business Heads / </w:t>
      </w:r>
      <w:r w:rsidRPr="00423107">
        <w:rPr>
          <w:rFonts w:ascii="Book Antiqua" w:hAnsi="Book Antiqua" w:cs="BookAntiqua"/>
        </w:rPr>
        <w:t>Department Heads</w:t>
      </w:r>
      <w:r w:rsidR="000C0ED9" w:rsidRPr="00423107">
        <w:rPr>
          <w:rFonts w:ascii="Book Antiqua" w:hAnsi="Book Antiqua" w:cs="BookAntiqua"/>
        </w:rPr>
        <w:t xml:space="preserve"> </w:t>
      </w:r>
      <w:r w:rsidRPr="00423107">
        <w:rPr>
          <w:rFonts w:ascii="Book Antiqua" w:hAnsi="Book Antiqua" w:cs="BookAntiqua"/>
        </w:rPr>
        <w:t>/</w:t>
      </w:r>
      <w:r w:rsidR="000C0ED9" w:rsidRPr="00423107">
        <w:rPr>
          <w:rFonts w:ascii="Book Antiqua" w:hAnsi="Book Antiqua" w:cs="BookAntiqua"/>
        </w:rPr>
        <w:t xml:space="preserve"> </w:t>
      </w:r>
      <w:r w:rsidRPr="00423107">
        <w:rPr>
          <w:rFonts w:ascii="Book Antiqua" w:hAnsi="Book Antiqua" w:cs="BookAntiqua"/>
        </w:rPr>
        <w:t>Branch Heads, the Finance &amp; Accounts Department, Statutory Auditor and Internal Auditor.</w:t>
      </w:r>
    </w:p>
    <w:p w:rsidR="00C029E5" w:rsidRPr="00423107" w:rsidRDefault="00C029E5" w:rsidP="00E549CB">
      <w:pPr>
        <w:pStyle w:val="Default"/>
        <w:tabs>
          <w:tab w:val="left" w:pos="450"/>
        </w:tabs>
        <w:ind w:left="720"/>
        <w:jc w:val="both"/>
        <w:rPr>
          <w:rFonts w:ascii="Book Antiqua" w:hAnsi="Book Antiqua"/>
          <w:sz w:val="22"/>
          <w:szCs w:val="22"/>
        </w:rPr>
      </w:pPr>
    </w:p>
    <w:p w:rsidR="00000062" w:rsidRPr="00423107" w:rsidRDefault="00000062" w:rsidP="00E549CB">
      <w:pPr>
        <w:pStyle w:val="Default"/>
        <w:tabs>
          <w:tab w:val="left" w:pos="450"/>
        </w:tabs>
        <w:ind w:left="720"/>
        <w:jc w:val="both"/>
        <w:rPr>
          <w:rFonts w:ascii="Book Antiqua" w:hAnsi="Book Antiqua"/>
          <w:sz w:val="22"/>
          <w:szCs w:val="22"/>
        </w:rPr>
      </w:pPr>
      <w:r w:rsidRPr="00423107">
        <w:rPr>
          <w:rFonts w:ascii="Book Antiqua" w:hAnsi="Book Antiqua"/>
          <w:sz w:val="22"/>
          <w:szCs w:val="22"/>
        </w:rPr>
        <w:t xml:space="preserve">The transactions specified above in Point (A) with the aforesaid related parties mentioned in Point (B) shall be considered as </w:t>
      </w:r>
      <w:proofErr w:type="gramStart"/>
      <w:r w:rsidRPr="00423107">
        <w:rPr>
          <w:rFonts w:ascii="Book Antiqua" w:hAnsi="Book Antiqua"/>
          <w:sz w:val="22"/>
          <w:szCs w:val="22"/>
        </w:rPr>
        <w:t>Related</w:t>
      </w:r>
      <w:proofErr w:type="gramEnd"/>
      <w:r w:rsidRPr="00423107">
        <w:rPr>
          <w:rFonts w:ascii="Book Antiqua" w:hAnsi="Book Antiqua"/>
          <w:sz w:val="22"/>
          <w:szCs w:val="22"/>
        </w:rPr>
        <w:t xml:space="preserve"> party transactions.</w:t>
      </w:r>
    </w:p>
    <w:p w:rsidR="00000062" w:rsidRPr="00423107" w:rsidRDefault="00000062" w:rsidP="00DF31F4">
      <w:pPr>
        <w:pStyle w:val="Default"/>
        <w:jc w:val="both"/>
        <w:rPr>
          <w:rFonts w:ascii="Book Antiqua" w:hAnsi="Book Antiqua"/>
          <w:sz w:val="22"/>
          <w:szCs w:val="22"/>
        </w:rPr>
      </w:pPr>
    </w:p>
    <w:p w:rsidR="00F13F7B" w:rsidRPr="00423107" w:rsidRDefault="006A2D7F" w:rsidP="00E549CB">
      <w:pPr>
        <w:pStyle w:val="ListParagraph"/>
        <w:numPr>
          <w:ilvl w:val="0"/>
          <w:numId w:val="11"/>
        </w:numPr>
        <w:autoSpaceDE w:val="0"/>
        <w:autoSpaceDN w:val="0"/>
        <w:adjustRightInd w:val="0"/>
        <w:spacing w:after="0" w:line="240" w:lineRule="auto"/>
        <w:jc w:val="both"/>
        <w:rPr>
          <w:rFonts w:ascii="Book Antiqua" w:hAnsi="Book Antiqua"/>
          <w:u w:val="single"/>
        </w:rPr>
      </w:pPr>
      <w:r w:rsidRPr="00423107">
        <w:rPr>
          <w:rFonts w:ascii="Book Antiqua" w:hAnsi="Book Antiqua"/>
          <w:b/>
          <w:bCs/>
          <w:u w:val="single"/>
        </w:rPr>
        <w:t>Approval by Audit Committee:</w:t>
      </w:r>
      <w:r w:rsidR="005271DD" w:rsidRPr="00423107">
        <w:rPr>
          <w:rFonts w:ascii="Book Antiqua" w:hAnsi="Book Antiqua"/>
          <w:b/>
          <w:bCs/>
          <w:u w:val="single"/>
        </w:rPr>
        <w:t xml:space="preserve"> </w:t>
      </w:r>
    </w:p>
    <w:p w:rsidR="00F13F7B" w:rsidRPr="00423107" w:rsidRDefault="00F13F7B" w:rsidP="00A66E2B">
      <w:pPr>
        <w:pStyle w:val="Default"/>
        <w:jc w:val="both"/>
        <w:rPr>
          <w:rFonts w:ascii="Book Antiqua" w:hAnsi="Book Antiqua"/>
          <w:sz w:val="22"/>
          <w:szCs w:val="22"/>
        </w:rPr>
      </w:pPr>
    </w:p>
    <w:p w:rsidR="00043783" w:rsidRPr="00423107" w:rsidRDefault="00F13F7B" w:rsidP="00E549CB">
      <w:pPr>
        <w:pStyle w:val="Default"/>
        <w:ind w:left="720"/>
        <w:jc w:val="both"/>
        <w:rPr>
          <w:rFonts w:ascii="Book Antiqua" w:hAnsi="Book Antiqua"/>
          <w:sz w:val="22"/>
          <w:szCs w:val="22"/>
        </w:rPr>
      </w:pPr>
      <w:r w:rsidRPr="00423107">
        <w:rPr>
          <w:rFonts w:ascii="Book Antiqua" w:hAnsi="Book Antiqua"/>
          <w:sz w:val="22"/>
          <w:szCs w:val="22"/>
        </w:rPr>
        <w:t>All Related Party Transactions</w:t>
      </w:r>
      <w:r w:rsidR="0001602C" w:rsidRPr="00423107">
        <w:rPr>
          <w:rFonts w:ascii="Book Antiqua" w:hAnsi="Book Antiqua"/>
          <w:sz w:val="22"/>
          <w:szCs w:val="22"/>
        </w:rPr>
        <w:t xml:space="preserve"> </w:t>
      </w:r>
      <w:r w:rsidR="007C6FDC" w:rsidRPr="00423107">
        <w:rPr>
          <w:rFonts w:ascii="Book Antiqua" w:hAnsi="Book Antiqua"/>
          <w:sz w:val="22"/>
          <w:szCs w:val="22"/>
        </w:rPr>
        <w:t>may</w:t>
      </w:r>
      <w:r w:rsidRPr="00423107">
        <w:rPr>
          <w:rFonts w:ascii="Book Antiqua" w:hAnsi="Book Antiqua"/>
          <w:sz w:val="22"/>
          <w:szCs w:val="22"/>
        </w:rPr>
        <w:t xml:space="preserve"> </w:t>
      </w:r>
      <w:r w:rsidR="006A2D7F" w:rsidRPr="00423107">
        <w:rPr>
          <w:rFonts w:ascii="Book Antiqua" w:hAnsi="Book Antiqua"/>
          <w:sz w:val="22"/>
          <w:szCs w:val="22"/>
        </w:rPr>
        <w:t>require approval of Audit Committee</w:t>
      </w:r>
      <w:r w:rsidRPr="00423107">
        <w:rPr>
          <w:rFonts w:ascii="Book Antiqua" w:hAnsi="Book Antiqua"/>
          <w:sz w:val="22"/>
          <w:szCs w:val="22"/>
        </w:rPr>
        <w:t>.</w:t>
      </w:r>
    </w:p>
    <w:p w:rsidR="00043783" w:rsidRPr="00423107" w:rsidRDefault="00043783" w:rsidP="00E549CB">
      <w:pPr>
        <w:pStyle w:val="Default"/>
        <w:ind w:left="720"/>
        <w:jc w:val="both"/>
        <w:rPr>
          <w:rFonts w:ascii="Book Antiqua" w:hAnsi="Book Antiqua"/>
          <w:sz w:val="22"/>
          <w:szCs w:val="22"/>
        </w:rPr>
      </w:pPr>
    </w:p>
    <w:p w:rsidR="00F13F7B" w:rsidRPr="00423107" w:rsidRDefault="00A50977" w:rsidP="00E549CB">
      <w:pPr>
        <w:pStyle w:val="Default"/>
        <w:ind w:left="720"/>
        <w:jc w:val="both"/>
        <w:rPr>
          <w:rFonts w:ascii="Book Antiqua" w:hAnsi="Book Antiqua"/>
          <w:sz w:val="22"/>
          <w:szCs w:val="22"/>
        </w:rPr>
      </w:pPr>
      <w:r w:rsidRPr="00423107">
        <w:rPr>
          <w:rFonts w:ascii="Book Antiqua" w:hAnsi="Book Antiqua"/>
          <w:sz w:val="22"/>
          <w:szCs w:val="22"/>
        </w:rPr>
        <w:t>T</w:t>
      </w:r>
      <w:r w:rsidR="006A2D7F" w:rsidRPr="00423107">
        <w:rPr>
          <w:rFonts w:ascii="Book Antiqua" w:hAnsi="Book Antiqua"/>
          <w:sz w:val="22"/>
          <w:szCs w:val="22"/>
        </w:rPr>
        <w:t>he Company may obtain omnibus approval from the Audit Committee</w:t>
      </w:r>
      <w:r w:rsidRPr="00423107">
        <w:rPr>
          <w:rFonts w:ascii="Book Antiqua" w:hAnsi="Book Antiqua"/>
          <w:sz w:val="22"/>
          <w:szCs w:val="22"/>
        </w:rPr>
        <w:t>, however the Audit Committee</w:t>
      </w:r>
      <w:r w:rsidR="005667B0" w:rsidRPr="00423107">
        <w:rPr>
          <w:rFonts w:ascii="Book Antiqua" w:hAnsi="Book Antiqua"/>
          <w:sz w:val="22"/>
          <w:szCs w:val="22"/>
        </w:rPr>
        <w:t xml:space="preserve"> shall satisfy itself the need for such omnibus approval and that such approval is in the interest of the company and the following particulars </w:t>
      </w:r>
      <w:r w:rsidRPr="00423107">
        <w:rPr>
          <w:rFonts w:ascii="Book Antiqua" w:hAnsi="Book Antiqua"/>
          <w:sz w:val="22"/>
          <w:szCs w:val="22"/>
        </w:rPr>
        <w:t>shall be required to</w:t>
      </w:r>
      <w:r w:rsidR="005667B0" w:rsidRPr="00423107">
        <w:rPr>
          <w:rFonts w:ascii="Book Antiqua" w:hAnsi="Book Antiqua"/>
          <w:sz w:val="22"/>
          <w:szCs w:val="22"/>
        </w:rPr>
        <w:t xml:space="preserve"> be</w:t>
      </w:r>
      <w:r w:rsidRPr="00423107">
        <w:rPr>
          <w:rFonts w:ascii="Book Antiqua" w:hAnsi="Book Antiqua"/>
          <w:sz w:val="22"/>
          <w:szCs w:val="22"/>
        </w:rPr>
        <w:t xml:space="preserve"> </w:t>
      </w:r>
      <w:r w:rsidR="005667B0" w:rsidRPr="00423107">
        <w:rPr>
          <w:rFonts w:ascii="Book Antiqua" w:hAnsi="Book Antiqua"/>
          <w:sz w:val="22"/>
          <w:szCs w:val="22"/>
        </w:rPr>
        <w:t>stated</w:t>
      </w:r>
      <w:r w:rsidRPr="00423107">
        <w:rPr>
          <w:rFonts w:ascii="Book Antiqua" w:hAnsi="Book Antiqua"/>
          <w:sz w:val="22"/>
          <w:szCs w:val="22"/>
        </w:rPr>
        <w:t xml:space="preserve"> in the omnibus approval</w:t>
      </w:r>
      <w:r w:rsidR="00A37B5B" w:rsidRPr="00423107">
        <w:rPr>
          <w:rFonts w:ascii="Book Antiqua" w:hAnsi="Book Antiqua"/>
          <w:sz w:val="22"/>
          <w:szCs w:val="22"/>
        </w:rPr>
        <w:t>:</w:t>
      </w:r>
    </w:p>
    <w:p w:rsidR="005667B0" w:rsidRPr="00423107" w:rsidRDefault="005667B0" w:rsidP="00A66E2B">
      <w:pPr>
        <w:pStyle w:val="Default"/>
        <w:jc w:val="both"/>
        <w:rPr>
          <w:rFonts w:ascii="Book Antiqua" w:hAnsi="Book Antiqua"/>
          <w:sz w:val="22"/>
          <w:szCs w:val="22"/>
        </w:rPr>
      </w:pPr>
    </w:p>
    <w:p w:rsidR="00A50977" w:rsidRPr="00423107" w:rsidRDefault="00A37B5B" w:rsidP="00E549CB">
      <w:pPr>
        <w:pStyle w:val="Default"/>
        <w:numPr>
          <w:ilvl w:val="0"/>
          <w:numId w:val="6"/>
        </w:numPr>
        <w:ind w:left="1440"/>
        <w:jc w:val="both"/>
        <w:rPr>
          <w:rFonts w:ascii="Book Antiqua" w:hAnsi="Book Antiqua"/>
          <w:sz w:val="22"/>
          <w:szCs w:val="22"/>
        </w:rPr>
      </w:pPr>
      <w:r w:rsidRPr="00423107">
        <w:rPr>
          <w:rFonts w:ascii="Book Antiqua" w:hAnsi="Book Antiqua"/>
          <w:sz w:val="22"/>
          <w:szCs w:val="22"/>
        </w:rPr>
        <w:t>T</w:t>
      </w:r>
      <w:r w:rsidR="00A50977" w:rsidRPr="00423107">
        <w:rPr>
          <w:rFonts w:ascii="Book Antiqua" w:hAnsi="Book Antiqua"/>
          <w:sz w:val="22"/>
          <w:szCs w:val="22"/>
        </w:rPr>
        <w:t>he name/s of the related party, nature of transaction, period of transaction, maximum amount of transaction that can be entered into,</w:t>
      </w:r>
    </w:p>
    <w:p w:rsidR="00A50977" w:rsidRPr="00423107" w:rsidRDefault="00A37B5B" w:rsidP="00E549CB">
      <w:pPr>
        <w:pStyle w:val="Default"/>
        <w:numPr>
          <w:ilvl w:val="0"/>
          <w:numId w:val="6"/>
        </w:numPr>
        <w:ind w:left="1440"/>
        <w:jc w:val="both"/>
        <w:rPr>
          <w:rFonts w:ascii="Book Antiqua" w:hAnsi="Book Antiqua"/>
          <w:sz w:val="22"/>
          <w:szCs w:val="22"/>
        </w:rPr>
      </w:pPr>
      <w:r w:rsidRPr="00423107">
        <w:rPr>
          <w:rFonts w:ascii="Book Antiqua" w:hAnsi="Book Antiqua"/>
          <w:sz w:val="22"/>
          <w:szCs w:val="22"/>
        </w:rPr>
        <w:t>T</w:t>
      </w:r>
      <w:r w:rsidR="00A50977" w:rsidRPr="00423107">
        <w:rPr>
          <w:rFonts w:ascii="Book Antiqua" w:hAnsi="Book Antiqua"/>
          <w:sz w:val="22"/>
          <w:szCs w:val="22"/>
        </w:rPr>
        <w:t xml:space="preserve">he indicative base price / current contracted price and the formula for variation in the price if any and </w:t>
      </w:r>
    </w:p>
    <w:p w:rsidR="008533D5" w:rsidRPr="00423107" w:rsidRDefault="00A37B5B" w:rsidP="00E549CB">
      <w:pPr>
        <w:pStyle w:val="Default"/>
        <w:numPr>
          <w:ilvl w:val="0"/>
          <w:numId w:val="6"/>
        </w:numPr>
        <w:ind w:left="1440"/>
        <w:jc w:val="both"/>
        <w:rPr>
          <w:rFonts w:ascii="Book Antiqua" w:hAnsi="Book Antiqua"/>
          <w:sz w:val="22"/>
          <w:szCs w:val="22"/>
        </w:rPr>
      </w:pPr>
      <w:r w:rsidRPr="00423107">
        <w:rPr>
          <w:rFonts w:ascii="Book Antiqua" w:hAnsi="Book Antiqua"/>
          <w:sz w:val="22"/>
          <w:szCs w:val="22"/>
        </w:rPr>
        <w:t>S</w:t>
      </w:r>
      <w:r w:rsidR="00A50977" w:rsidRPr="00423107">
        <w:rPr>
          <w:rFonts w:ascii="Book Antiqua" w:hAnsi="Book Antiqua"/>
          <w:sz w:val="22"/>
          <w:szCs w:val="22"/>
        </w:rPr>
        <w:t>uch other conditions as the Audit Committee may deem fit.</w:t>
      </w:r>
    </w:p>
    <w:p w:rsidR="005667B0" w:rsidRPr="00423107" w:rsidRDefault="005667B0" w:rsidP="005667B0">
      <w:pPr>
        <w:pStyle w:val="Default"/>
        <w:jc w:val="both"/>
        <w:rPr>
          <w:rFonts w:ascii="Book Antiqua" w:hAnsi="Book Antiqua"/>
          <w:sz w:val="22"/>
          <w:szCs w:val="22"/>
        </w:rPr>
      </w:pPr>
    </w:p>
    <w:p w:rsidR="003143AC" w:rsidRDefault="005667B0" w:rsidP="003143AC">
      <w:pPr>
        <w:pStyle w:val="Default"/>
        <w:ind w:left="720"/>
        <w:jc w:val="both"/>
        <w:rPr>
          <w:rFonts w:ascii="Book Antiqua" w:hAnsi="Book Antiqua"/>
        </w:rPr>
      </w:pPr>
      <w:r w:rsidRPr="00423107">
        <w:rPr>
          <w:rFonts w:ascii="Book Antiqua" w:hAnsi="Book Antiqua"/>
          <w:sz w:val="22"/>
          <w:szCs w:val="22"/>
        </w:rPr>
        <w:t>Such omnibus approvals shall be valid for a period not exceeding one year and shall require fresh approvals after the expiry of one year</w:t>
      </w:r>
    </w:p>
    <w:p w:rsidR="003143AC" w:rsidRDefault="003143AC" w:rsidP="003143AC">
      <w:pPr>
        <w:pStyle w:val="Default"/>
        <w:ind w:left="720"/>
        <w:jc w:val="both"/>
        <w:rPr>
          <w:rFonts w:ascii="Book Antiqua" w:hAnsi="Book Antiqua"/>
        </w:rPr>
      </w:pPr>
    </w:p>
    <w:p w:rsidR="006A2D7F" w:rsidRPr="003143AC" w:rsidRDefault="006A2D7F" w:rsidP="003143AC">
      <w:pPr>
        <w:pStyle w:val="ListParagraph"/>
        <w:numPr>
          <w:ilvl w:val="0"/>
          <w:numId w:val="11"/>
        </w:numPr>
        <w:autoSpaceDE w:val="0"/>
        <w:autoSpaceDN w:val="0"/>
        <w:adjustRightInd w:val="0"/>
        <w:spacing w:after="0" w:line="240" w:lineRule="auto"/>
        <w:jc w:val="both"/>
        <w:rPr>
          <w:rFonts w:ascii="Book Antiqua" w:hAnsi="Book Antiqua"/>
        </w:rPr>
      </w:pPr>
      <w:r w:rsidRPr="00423107">
        <w:rPr>
          <w:rFonts w:ascii="Book Antiqua" w:hAnsi="Book Antiqua"/>
          <w:b/>
          <w:u w:val="single"/>
        </w:rPr>
        <w:t>Approval by Board of Directors of the Company:</w:t>
      </w:r>
    </w:p>
    <w:p w:rsidR="006A2D7F" w:rsidRPr="00423107" w:rsidRDefault="006A2D7F" w:rsidP="00A66E2B">
      <w:pPr>
        <w:pStyle w:val="Default"/>
        <w:jc w:val="both"/>
        <w:rPr>
          <w:rFonts w:ascii="Book Antiqua" w:hAnsi="Book Antiqua"/>
          <w:b/>
          <w:sz w:val="22"/>
          <w:szCs w:val="22"/>
          <w:u w:val="single"/>
        </w:rPr>
      </w:pPr>
    </w:p>
    <w:p w:rsidR="00DF31F4" w:rsidRPr="00423107" w:rsidRDefault="00DF31F4" w:rsidP="00C60203">
      <w:pPr>
        <w:pStyle w:val="Default"/>
        <w:ind w:left="720"/>
        <w:jc w:val="both"/>
        <w:rPr>
          <w:rFonts w:ascii="Book Antiqua" w:hAnsi="Book Antiqua"/>
          <w:sz w:val="22"/>
          <w:szCs w:val="22"/>
        </w:rPr>
      </w:pPr>
      <w:r w:rsidRPr="00423107">
        <w:rPr>
          <w:rFonts w:ascii="Book Antiqua" w:hAnsi="Book Antiqua"/>
          <w:sz w:val="22"/>
          <w:szCs w:val="22"/>
        </w:rPr>
        <w:t>The following Related Party Transactions which are not in the ordinary course of business or are in the ordinary course of busi</w:t>
      </w:r>
      <w:r w:rsidR="0048489F" w:rsidRPr="00423107">
        <w:rPr>
          <w:rFonts w:ascii="Book Antiqua" w:hAnsi="Book Antiqua"/>
          <w:sz w:val="22"/>
          <w:szCs w:val="22"/>
        </w:rPr>
        <w:t xml:space="preserve">ness but are not </w:t>
      </w:r>
      <w:r w:rsidR="005567DD" w:rsidRPr="00423107">
        <w:rPr>
          <w:rFonts w:ascii="Book Antiqua" w:hAnsi="Book Antiqua"/>
          <w:sz w:val="22"/>
          <w:szCs w:val="22"/>
        </w:rPr>
        <w:t xml:space="preserve">Arm’s Length </w:t>
      </w:r>
      <w:r w:rsidRPr="00423107">
        <w:rPr>
          <w:rFonts w:ascii="Book Antiqua" w:hAnsi="Book Antiqua"/>
          <w:sz w:val="22"/>
          <w:szCs w:val="22"/>
        </w:rPr>
        <w:t>Transactions shall require prior approval of Board of Directors:</w:t>
      </w:r>
    </w:p>
    <w:p w:rsidR="00DF31F4" w:rsidRPr="00423107" w:rsidRDefault="00DF31F4" w:rsidP="006A2D7F">
      <w:pPr>
        <w:pStyle w:val="Default"/>
        <w:jc w:val="both"/>
        <w:rPr>
          <w:rFonts w:ascii="Book Antiqua" w:hAnsi="Book Antiqua"/>
          <w:sz w:val="22"/>
          <w:szCs w:val="22"/>
        </w:rPr>
      </w:pPr>
    </w:p>
    <w:p w:rsidR="00DF31F4" w:rsidRPr="00423107" w:rsidRDefault="00DF31F4" w:rsidP="00C60203">
      <w:pPr>
        <w:pStyle w:val="Default"/>
        <w:numPr>
          <w:ilvl w:val="0"/>
          <w:numId w:val="3"/>
        </w:numPr>
        <w:ind w:left="1080"/>
        <w:jc w:val="both"/>
        <w:rPr>
          <w:rFonts w:ascii="Book Antiqua" w:hAnsi="Book Antiqua"/>
          <w:sz w:val="22"/>
          <w:szCs w:val="22"/>
        </w:rPr>
      </w:pPr>
      <w:r w:rsidRPr="00423107">
        <w:rPr>
          <w:rFonts w:ascii="Book Antiqua" w:hAnsi="Book Antiqua"/>
          <w:sz w:val="22"/>
          <w:szCs w:val="22"/>
        </w:rPr>
        <w:t>sale, purchase or supply of any goods or materials;</w:t>
      </w:r>
    </w:p>
    <w:p w:rsidR="00DF31F4" w:rsidRPr="00423107" w:rsidRDefault="00DF31F4" w:rsidP="00C60203">
      <w:pPr>
        <w:pStyle w:val="Default"/>
        <w:numPr>
          <w:ilvl w:val="0"/>
          <w:numId w:val="3"/>
        </w:numPr>
        <w:ind w:left="1080"/>
        <w:jc w:val="both"/>
        <w:rPr>
          <w:rFonts w:ascii="Book Antiqua" w:hAnsi="Book Antiqua"/>
          <w:sz w:val="22"/>
          <w:szCs w:val="22"/>
        </w:rPr>
      </w:pPr>
      <w:r w:rsidRPr="00423107">
        <w:rPr>
          <w:rFonts w:ascii="Book Antiqua" w:hAnsi="Book Antiqua"/>
          <w:sz w:val="22"/>
          <w:szCs w:val="22"/>
        </w:rPr>
        <w:t>selling or otherwise disposing of, or buying, property of any kind;</w:t>
      </w:r>
    </w:p>
    <w:p w:rsidR="00DF31F4" w:rsidRPr="00423107" w:rsidRDefault="00DF31F4" w:rsidP="00C60203">
      <w:pPr>
        <w:pStyle w:val="Default"/>
        <w:numPr>
          <w:ilvl w:val="0"/>
          <w:numId w:val="3"/>
        </w:numPr>
        <w:ind w:left="1080"/>
        <w:jc w:val="both"/>
        <w:rPr>
          <w:rFonts w:ascii="Book Antiqua" w:hAnsi="Book Antiqua"/>
          <w:sz w:val="22"/>
          <w:szCs w:val="22"/>
        </w:rPr>
      </w:pPr>
      <w:r w:rsidRPr="00423107">
        <w:rPr>
          <w:rFonts w:ascii="Book Antiqua" w:hAnsi="Book Antiqua"/>
          <w:sz w:val="22"/>
          <w:szCs w:val="22"/>
        </w:rPr>
        <w:t>leasing of property of any kind;</w:t>
      </w:r>
    </w:p>
    <w:p w:rsidR="00DF31F4" w:rsidRPr="00423107" w:rsidRDefault="00DF31F4" w:rsidP="00C60203">
      <w:pPr>
        <w:pStyle w:val="Default"/>
        <w:numPr>
          <w:ilvl w:val="0"/>
          <w:numId w:val="3"/>
        </w:numPr>
        <w:ind w:left="1080"/>
        <w:jc w:val="both"/>
        <w:rPr>
          <w:rFonts w:ascii="Book Antiqua" w:hAnsi="Book Antiqua"/>
          <w:sz w:val="22"/>
          <w:szCs w:val="22"/>
        </w:rPr>
      </w:pPr>
      <w:r w:rsidRPr="00423107">
        <w:rPr>
          <w:rFonts w:ascii="Book Antiqua" w:hAnsi="Book Antiqua"/>
          <w:sz w:val="22"/>
          <w:szCs w:val="22"/>
        </w:rPr>
        <w:t>availing or rendering of any services;</w:t>
      </w:r>
    </w:p>
    <w:p w:rsidR="00DF31F4" w:rsidRPr="00423107" w:rsidRDefault="00DF31F4" w:rsidP="00C60203">
      <w:pPr>
        <w:pStyle w:val="Default"/>
        <w:numPr>
          <w:ilvl w:val="0"/>
          <w:numId w:val="3"/>
        </w:numPr>
        <w:ind w:left="1080"/>
        <w:jc w:val="both"/>
        <w:rPr>
          <w:rFonts w:ascii="Book Antiqua" w:hAnsi="Book Antiqua"/>
          <w:sz w:val="22"/>
          <w:szCs w:val="22"/>
        </w:rPr>
      </w:pPr>
      <w:r w:rsidRPr="00423107">
        <w:rPr>
          <w:rFonts w:ascii="Book Antiqua" w:hAnsi="Book Antiqua"/>
          <w:sz w:val="22"/>
          <w:szCs w:val="22"/>
        </w:rPr>
        <w:t>appointment of any agent for purchase or sale of goods, materials, services</w:t>
      </w:r>
    </w:p>
    <w:p w:rsidR="00DF31F4" w:rsidRPr="00423107" w:rsidRDefault="00DF31F4" w:rsidP="00C60203">
      <w:pPr>
        <w:pStyle w:val="Default"/>
        <w:ind w:left="360" w:firstLine="720"/>
        <w:jc w:val="both"/>
        <w:rPr>
          <w:rFonts w:ascii="Book Antiqua" w:hAnsi="Book Antiqua"/>
          <w:sz w:val="22"/>
          <w:szCs w:val="22"/>
        </w:rPr>
      </w:pPr>
      <w:proofErr w:type="gramStart"/>
      <w:r w:rsidRPr="00423107">
        <w:rPr>
          <w:rFonts w:ascii="Book Antiqua" w:hAnsi="Book Antiqua"/>
          <w:sz w:val="22"/>
          <w:szCs w:val="22"/>
        </w:rPr>
        <w:t>or</w:t>
      </w:r>
      <w:proofErr w:type="gramEnd"/>
      <w:r w:rsidRPr="00423107">
        <w:rPr>
          <w:rFonts w:ascii="Book Antiqua" w:hAnsi="Book Antiqua"/>
          <w:sz w:val="22"/>
          <w:szCs w:val="22"/>
        </w:rPr>
        <w:t xml:space="preserve"> property;</w:t>
      </w:r>
    </w:p>
    <w:p w:rsidR="00DF31F4" w:rsidRPr="00423107" w:rsidRDefault="00DF31F4" w:rsidP="00C60203">
      <w:pPr>
        <w:pStyle w:val="Default"/>
        <w:numPr>
          <w:ilvl w:val="0"/>
          <w:numId w:val="3"/>
        </w:numPr>
        <w:ind w:left="1080"/>
        <w:jc w:val="both"/>
        <w:rPr>
          <w:rFonts w:ascii="Book Antiqua" w:hAnsi="Book Antiqua"/>
          <w:sz w:val="22"/>
          <w:szCs w:val="22"/>
        </w:rPr>
      </w:pPr>
      <w:r w:rsidRPr="00423107">
        <w:rPr>
          <w:rFonts w:ascii="Book Antiqua" w:hAnsi="Book Antiqua"/>
          <w:sz w:val="22"/>
          <w:szCs w:val="22"/>
        </w:rPr>
        <w:t>such related party's appointment to any office or place of profit in the company,</w:t>
      </w:r>
      <w:r w:rsidR="00C632A9" w:rsidRPr="00423107">
        <w:rPr>
          <w:rFonts w:ascii="Book Antiqua" w:hAnsi="Book Antiqua"/>
          <w:sz w:val="22"/>
          <w:szCs w:val="22"/>
        </w:rPr>
        <w:t xml:space="preserve"> </w:t>
      </w:r>
      <w:r w:rsidRPr="00423107">
        <w:rPr>
          <w:rFonts w:ascii="Book Antiqua" w:hAnsi="Book Antiqua"/>
          <w:sz w:val="22"/>
          <w:szCs w:val="22"/>
        </w:rPr>
        <w:t>and</w:t>
      </w:r>
    </w:p>
    <w:p w:rsidR="00DF31F4" w:rsidRPr="00423107" w:rsidRDefault="00DF31F4" w:rsidP="00C60203">
      <w:pPr>
        <w:pStyle w:val="Default"/>
        <w:numPr>
          <w:ilvl w:val="0"/>
          <w:numId w:val="3"/>
        </w:numPr>
        <w:ind w:left="1080"/>
        <w:jc w:val="both"/>
        <w:rPr>
          <w:rFonts w:ascii="Book Antiqua" w:hAnsi="Book Antiqua"/>
          <w:sz w:val="22"/>
          <w:szCs w:val="22"/>
        </w:rPr>
      </w:pPr>
      <w:r w:rsidRPr="00423107">
        <w:rPr>
          <w:rFonts w:ascii="Book Antiqua" w:hAnsi="Book Antiqua"/>
          <w:sz w:val="22"/>
          <w:szCs w:val="22"/>
        </w:rPr>
        <w:lastRenderedPageBreak/>
        <w:t>underwriting the subscription of any securities or derivatives thereof,</w:t>
      </w:r>
    </w:p>
    <w:p w:rsidR="00C632A9" w:rsidRPr="00423107" w:rsidRDefault="00C632A9" w:rsidP="00C632A9">
      <w:pPr>
        <w:pStyle w:val="Default"/>
        <w:jc w:val="both"/>
        <w:rPr>
          <w:rFonts w:ascii="Book Antiqua" w:hAnsi="Book Antiqua"/>
          <w:sz w:val="22"/>
          <w:szCs w:val="22"/>
        </w:rPr>
      </w:pPr>
    </w:p>
    <w:p w:rsidR="00C632A9" w:rsidRPr="00423107" w:rsidRDefault="00C632A9" w:rsidP="00C60203">
      <w:pPr>
        <w:pStyle w:val="Default"/>
        <w:ind w:left="720"/>
        <w:jc w:val="both"/>
        <w:rPr>
          <w:rFonts w:ascii="Book Antiqua" w:hAnsi="Book Antiqua"/>
          <w:sz w:val="22"/>
          <w:szCs w:val="22"/>
        </w:rPr>
      </w:pPr>
      <w:r w:rsidRPr="00423107">
        <w:rPr>
          <w:rFonts w:ascii="Book Antiqua" w:hAnsi="Book Antiqua"/>
          <w:sz w:val="22"/>
          <w:szCs w:val="22"/>
        </w:rPr>
        <w:t>Where any Director is interested in any Related Party Transaction, such director will abstain from discussion and voting on the subject matter of the resolution relating to such Transaction.</w:t>
      </w:r>
    </w:p>
    <w:p w:rsidR="00C632A9" w:rsidRPr="00423107" w:rsidRDefault="00C632A9" w:rsidP="00C632A9">
      <w:pPr>
        <w:pStyle w:val="Default"/>
        <w:ind w:left="720"/>
        <w:jc w:val="both"/>
        <w:rPr>
          <w:rFonts w:ascii="Book Antiqua" w:hAnsi="Book Antiqua"/>
          <w:sz w:val="22"/>
          <w:szCs w:val="22"/>
        </w:rPr>
      </w:pPr>
    </w:p>
    <w:p w:rsidR="00E92BFD" w:rsidRPr="00423107" w:rsidRDefault="00E92BFD" w:rsidP="00000062">
      <w:pPr>
        <w:pStyle w:val="Default"/>
        <w:numPr>
          <w:ilvl w:val="0"/>
          <w:numId w:val="11"/>
        </w:numPr>
        <w:jc w:val="both"/>
        <w:rPr>
          <w:rFonts w:ascii="Book Antiqua" w:hAnsi="Book Antiqua"/>
          <w:b/>
          <w:sz w:val="22"/>
          <w:szCs w:val="22"/>
          <w:u w:val="single"/>
        </w:rPr>
      </w:pPr>
      <w:r w:rsidRPr="00423107">
        <w:rPr>
          <w:rFonts w:ascii="Book Antiqua" w:hAnsi="Book Antiqua"/>
          <w:b/>
          <w:sz w:val="22"/>
          <w:szCs w:val="22"/>
          <w:u w:val="single"/>
        </w:rPr>
        <w:t>Approval by Shareholders</w:t>
      </w:r>
      <w:r w:rsidR="004977E3" w:rsidRPr="00423107">
        <w:rPr>
          <w:rFonts w:ascii="Book Antiqua" w:hAnsi="Book Antiqua"/>
          <w:b/>
          <w:sz w:val="22"/>
          <w:szCs w:val="22"/>
          <w:u w:val="single"/>
        </w:rPr>
        <w:t>:</w:t>
      </w:r>
    </w:p>
    <w:p w:rsidR="00C632A9" w:rsidRPr="00423107" w:rsidRDefault="00C632A9" w:rsidP="006A2D7F">
      <w:pPr>
        <w:pStyle w:val="Default"/>
        <w:jc w:val="both"/>
        <w:rPr>
          <w:rFonts w:ascii="Book Antiqua" w:hAnsi="Book Antiqua"/>
          <w:b/>
          <w:sz w:val="22"/>
          <w:szCs w:val="22"/>
          <w:u w:val="single"/>
        </w:rPr>
      </w:pPr>
    </w:p>
    <w:p w:rsidR="00C632A9" w:rsidRPr="00423107" w:rsidRDefault="00C632A9" w:rsidP="00C60203">
      <w:pPr>
        <w:pStyle w:val="Default"/>
        <w:ind w:left="720"/>
        <w:jc w:val="both"/>
        <w:rPr>
          <w:rFonts w:ascii="Book Antiqua" w:hAnsi="Book Antiqua"/>
          <w:sz w:val="22"/>
          <w:szCs w:val="22"/>
        </w:rPr>
      </w:pPr>
      <w:r w:rsidRPr="00423107">
        <w:rPr>
          <w:rFonts w:ascii="Book Antiqua" w:hAnsi="Book Antiqua"/>
          <w:sz w:val="22"/>
          <w:szCs w:val="22"/>
        </w:rPr>
        <w:t>R</w:t>
      </w:r>
      <w:r w:rsidR="005667B0" w:rsidRPr="00423107">
        <w:rPr>
          <w:rFonts w:ascii="Book Antiqua" w:hAnsi="Book Antiqua"/>
          <w:sz w:val="22"/>
          <w:szCs w:val="22"/>
        </w:rPr>
        <w:t xml:space="preserve">elated Party Transactions </w:t>
      </w:r>
      <w:r w:rsidRPr="00423107">
        <w:rPr>
          <w:rFonts w:ascii="Book Antiqua" w:hAnsi="Book Antiqua"/>
          <w:sz w:val="22"/>
          <w:szCs w:val="22"/>
        </w:rPr>
        <w:t>exceed</w:t>
      </w:r>
      <w:r w:rsidR="009B55F7" w:rsidRPr="00423107">
        <w:rPr>
          <w:rFonts w:ascii="Book Antiqua" w:hAnsi="Book Antiqua"/>
          <w:sz w:val="22"/>
          <w:szCs w:val="22"/>
        </w:rPr>
        <w:t>ing</w:t>
      </w:r>
      <w:r w:rsidRPr="00423107">
        <w:rPr>
          <w:rFonts w:ascii="Book Antiqua" w:hAnsi="Book Antiqua"/>
          <w:sz w:val="22"/>
          <w:szCs w:val="22"/>
        </w:rPr>
        <w:t xml:space="preserve"> the limits as prescribed under Section 188 of the </w:t>
      </w:r>
      <w:r w:rsidR="009B55F7" w:rsidRPr="00423107">
        <w:rPr>
          <w:rFonts w:ascii="Book Antiqua" w:hAnsi="Book Antiqua"/>
          <w:sz w:val="22"/>
          <w:szCs w:val="22"/>
        </w:rPr>
        <w:t xml:space="preserve">Companies </w:t>
      </w:r>
      <w:r w:rsidRPr="00423107">
        <w:rPr>
          <w:rFonts w:ascii="Book Antiqua" w:hAnsi="Book Antiqua"/>
          <w:sz w:val="22"/>
          <w:szCs w:val="22"/>
        </w:rPr>
        <w:t>Act</w:t>
      </w:r>
      <w:r w:rsidR="009B55F7" w:rsidRPr="00423107">
        <w:rPr>
          <w:rFonts w:ascii="Book Antiqua" w:hAnsi="Book Antiqua"/>
          <w:sz w:val="22"/>
          <w:szCs w:val="22"/>
        </w:rPr>
        <w:t>, 2013</w:t>
      </w:r>
      <w:r w:rsidRPr="00423107">
        <w:rPr>
          <w:rFonts w:ascii="Book Antiqua" w:hAnsi="Book Antiqua"/>
          <w:sz w:val="22"/>
          <w:szCs w:val="22"/>
        </w:rPr>
        <w:t xml:space="preserve"> and rules made there under will be placed before shareholders for their approval</w:t>
      </w:r>
      <w:r w:rsidR="00043783" w:rsidRPr="00423107">
        <w:rPr>
          <w:rFonts w:ascii="Book Antiqua" w:hAnsi="Book Antiqua"/>
          <w:sz w:val="22"/>
          <w:szCs w:val="22"/>
        </w:rPr>
        <w:t xml:space="preserve"> and any shareholder who is a related party in the context of the proposed Related Party Transaction will abstain from voting on such resolution in terms of the Provision of the Act.</w:t>
      </w:r>
    </w:p>
    <w:p w:rsidR="00C632A9" w:rsidRPr="00423107" w:rsidRDefault="00C632A9" w:rsidP="00C60203">
      <w:pPr>
        <w:pStyle w:val="Default"/>
        <w:ind w:left="720"/>
        <w:jc w:val="both"/>
        <w:rPr>
          <w:rFonts w:ascii="Book Antiqua" w:hAnsi="Book Antiqua"/>
          <w:sz w:val="22"/>
          <w:szCs w:val="22"/>
        </w:rPr>
      </w:pPr>
    </w:p>
    <w:p w:rsidR="00043783" w:rsidRPr="00423107" w:rsidRDefault="00043783" w:rsidP="00C60203">
      <w:pPr>
        <w:pStyle w:val="Default"/>
        <w:ind w:left="720"/>
        <w:jc w:val="both"/>
        <w:rPr>
          <w:rFonts w:ascii="Book Antiqua" w:hAnsi="Book Antiqua"/>
          <w:sz w:val="22"/>
          <w:szCs w:val="22"/>
        </w:rPr>
      </w:pPr>
      <w:r w:rsidRPr="00423107">
        <w:rPr>
          <w:rFonts w:ascii="Book Antiqua" w:hAnsi="Book Antiqua"/>
          <w:sz w:val="22"/>
          <w:szCs w:val="22"/>
        </w:rPr>
        <w:t xml:space="preserve">All Material Related Party Transaction will be approved by shareholders and any shareholder who is a related </w:t>
      </w:r>
      <w:r w:rsidR="00E82633" w:rsidRPr="00423107">
        <w:rPr>
          <w:rFonts w:ascii="Book Antiqua" w:hAnsi="Book Antiqua"/>
          <w:sz w:val="22"/>
          <w:szCs w:val="22"/>
        </w:rPr>
        <w:t>party (</w:t>
      </w:r>
      <w:proofErr w:type="spellStart"/>
      <w:r w:rsidRPr="00423107">
        <w:rPr>
          <w:rFonts w:ascii="Book Antiqua" w:hAnsi="Book Antiqua"/>
          <w:sz w:val="22"/>
          <w:szCs w:val="22"/>
        </w:rPr>
        <w:t>ies</w:t>
      </w:r>
      <w:proofErr w:type="spellEnd"/>
      <w:r w:rsidRPr="00423107">
        <w:rPr>
          <w:rFonts w:ascii="Book Antiqua" w:hAnsi="Book Antiqua"/>
          <w:sz w:val="22"/>
          <w:szCs w:val="22"/>
        </w:rPr>
        <w:t xml:space="preserve">) in the context of the proposed Related Party Transaction will abstain from voting on such resolution in terms of the </w:t>
      </w:r>
      <w:r w:rsidR="008C7DF3" w:rsidRPr="00423107">
        <w:rPr>
          <w:rFonts w:ascii="Book Antiqua" w:hAnsi="Book Antiqua"/>
          <w:sz w:val="22"/>
          <w:szCs w:val="22"/>
        </w:rPr>
        <w:t xml:space="preserve">provision </w:t>
      </w:r>
      <w:r w:rsidRPr="00423107">
        <w:rPr>
          <w:rFonts w:ascii="Book Antiqua" w:hAnsi="Book Antiqua"/>
          <w:sz w:val="22"/>
          <w:szCs w:val="22"/>
        </w:rPr>
        <w:t>of the Listing Agreement.</w:t>
      </w:r>
    </w:p>
    <w:p w:rsidR="00C632A9" w:rsidRPr="00423107" w:rsidRDefault="00C632A9" w:rsidP="006A2D7F">
      <w:pPr>
        <w:pStyle w:val="Default"/>
        <w:jc w:val="both"/>
        <w:rPr>
          <w:rFonts w:ascii="Book Antiqua" w:hAnsi="Book Antiqua"/>
          <w:sz w:val="22"/>
          <w:szCs w:val="22"/>
        </w:rPr>
      </w:pPr>
      <w:r w:rsidRPr="00423107">
        <w:rPr>
          <w:rFonts w:ascii="Book Antiqua" w:hAnsi="Book Antiqua"/>
          <w:sz w:val="22"/>
          <w:szCs w:val="22"/>
        </w:rPr>
        <w:t xml:space="preserve"> </w:t>
      </w:r>
    </w:p>
    <w:p w:rsidR="00043783" w:rsidRPr="00423107" w:rsidRDefault="00043783" w:rsidP="00000062">
      <w:pPr>
        <w:pStyle w:val="Default"/>
        <w:numPr>
          <w:ilvl w:val="0"/>
          <w:numId w:val="11"/>
        </w:numPr>
        <w:jc w:val="both"/>
        <w:rPr>
          <w:rFonts w:ascii="Book Antiqua" w:hAnsi="Book Antiqua"/>
          <w:b/>
          <w:sz w:val="22"/>
          <w:szCs w:val="22"/>
          <w:u w:val="single"/>
        </w:rPr>
      </w:pPr>
      <w:r w:rsidRPr="00423107">
        <w:rPr>
          <w:rFonts w:ascii="Book Antiqua" w:hAnsi="Book Antiqua"/>
          <w:b/>
          <w:sz w:val="22"/>
          <w:szCs w:val="22"/>
          <w:u w:val="single"/>
        </w:rPr>
        <w:t>Materiality Thresholds:</w:t>
      </w:r>
    </w:p>
    <w:p w:rsidR="00043783" w:rsidRPr="00423107" w:rsidRDefault="00043783" w:rsidP="00043783">
      <w:pPr>
        <w:pStyle w:val="Default"/>
        <w:jc w:val="both"/>
        <w:rPr>
          <w:rFonts w:ascii="Book Antiqua" w:hAnsi="Book Antiqua"/>
          <w:b/>
          <w:sz w:val="22"/>
          <w:szCs w:val="22"/>
        </w:rPr>
      </w:pPr>
    </w:p>
    <w:p w:rsidR="00043783" w:rsidRPr="00423107" w:rsidRDefault="00043783" w:rsidP="00C60203">
      <w:pPr>
        <w:pStyle w:val="Default"/>
        <w:ind w:left="720"/>
        <w:jc w:val="both"/>
        <w:rPr>
          <w:rFonts w:ascii="Book Antiqua" w:hAnsi="Book Antiqua"/>
          <w:sz w:val="22"/>
          <w:szCs w:val="22"/>
        </w:rPr>
      </w:pPr>
      <w:r w:rsidRPr="00423107">
        <w:rPr>
          <w:rFonts w:ascii="Book Antiqua" w:hAnsi="Book Antiqua"/>
          <w:sz w:val="22"/>
          <w:szCs w:val="22"/>
        </w:rPr>
        <w:t>Related Party Transaction shall be considered as material if it exceeds threshold limit specified under Clause 49(VII)</w:t>
      </w:r>
      <w:r w:rsidR="008C7DF3" w:rsidRPr="00423107">
        <w:rPr>
          <w:rFonts w:ascii="Book Antiqua" w:hAnsi="Book Antiqua"/>
          <w:sz w:val="22"/>
          <w:szCs w:val="22"/>
        </w:rPr>
        <w:t xml:space="preserve"> </w:t>
      </w:r>
      <w:r w:rsidRPr="00423107">
        <w:rPr>
          <w:rFonts w:ascii="Book Antiqua" w:hAnsi="Book Antiqua"/>
          <w:sz w:val="22"/>
          <w:szCs w:val="22"/>
        </w:rPr>
        <w:t>(C) of the listing agreement which is 10% of the annual consolidated turnover of the Company as per last audited Financial Statement or such other quantum as specified from time to time.</w:t>
      </w:r>
    </w:p>
    <w:p w:rsidR="00AA3D6C" w:rsidRPr="00423107" w:rsidRDefault="00AA3D6C" w:rsidP="00AA3D6C">
      <w:pPr>
        <w:pStyle w:val="Default"/>
        <w:jc w:val="both"/>
        <w:rPr>
          <w:rFonts w:ascii="Book Antiqua" w:hAnsi="Book Antiqua"/>
          <w:sz w:val="22"/>
          <w:szCs w:val="22"/>
        </w:rPr>
      </w:pPr>
    </w:p>
    <w:p w:rsidR="00F13F7B" w:rsidRPr="00423107" w:rsidRDefault="00F13F7B" w:rsidP="000447B5">
      <w:pPr>
        <w:pStyle w:val="Default"/>
        <w:numPr>
          <w:ilvl w:val="0"/>
          <w:numId w:val="1"/>
        </w:numPr>
        <w:jc w:val="both"/>
        <w:rPr>
          <w:rFonts w:ascii="Book Antiqua" w:hAnsi="Book Antiqua"/>
          <w:sz w:val="22"/>
          <w:szCs w:val="22"/>
          <w:u w:val="single"/>
        </w:rPr>
      </w:pPr>
      <w:r w:rsidRPr="00423107">
        <w:rPr>
          <w:rFonts w:ascii="Book Antiqua" w:hAnsi="Book Antiqua"/>
          <w:b/>
          <w:bCs/>
          <w:sz w:val="22"/>
          <w:szCs w:val="22"/>
          <w:u w:val="single"/>
        </w:rPr>
        <w:t xml:space="preserve">Related Party Transactions not approved under this Policy </w:t>
      </w:r>
    </w:p>
    <w:p w:rsidR="00F13F7B" w:rsidRPr="00423107" w:rsidRDefault="00F13F7B" w:rsidP="00A66E2B">
      <w:pPr>
        <w:pStyle w:val="Default"/>
        <w:jc w:val="both"/>
        <w:rPr>
          <w:rFonts w:ascii="Book Antiqua" w:hAnsi="Book Antiqua"/>
          <w:sz w:val="22"/>
          <w:szCs w:val="22"/>
        </w:rPr>
      </w:pPr>
    </w:p>
    <w:p w:rsidR="00F13F7B" w:rsidRPr="00423107" w:rsidRDefault="00F13F7B" w:rsidP="000447B5">
      <w:pPr>
        <w:pStyle w:val="Default"/>
        <w:ind w:left="360"/>
        <w:jc w:val="both"/>
        <w:rPr>
          <w:rFonts w:ascii="Book Antiqua" w:hAnsi="Book Antiqua"/>
          <w:sz w:val="22"/>
          <w:szCs w:val="22"/>
        </w:rPr>
      </w:pPr>
      <w:r w:rsidRPr="00423107">
        <w:rPr>
          <w:rFonts w:ascii="Book Antiqua" w:hAnsi="Book Antiqua"/>
          <w:sz w:val="22"/>
          <w:szCs w:val="22"/>
        </w:rPr>
        <w:t>In the event the Company becomes aware of a Related Party Transaction with a Related Party that has not been approved under this Policy prior to its consummation, the matter shall be reviewed by the Committee. The</w:t>
      </w:r>
      <w:r w:rsidR="00AA3D6C" w:rsidRPr="00423107">
        <w:rPr>
          <w:rFonts w:ascii="Book Antiqua" w:hAnsi="Book Antiqua"/>
          <w:sz w:val="22"/>
          <w:szCs w:val="22"/>
        </w:rPr>
        <w:t xml:space="preserve"> Committee shall consider all</w:t>
      </w:r>
      <w:r w:rsidRPr="00423107">
        <w:rPr>
          <w:rFonts w:ascii="Book Antiqua" w:hAnsi="Book Antiqua"/>
          <w:sz w:val="22"/>
          <w:szCs w:val="22"/>
        </w:rPr>
        <w:t xml:space="preserve"> the relevant facts and circumstances regarding the Related Party Transaction, and shall evaluate all options available to the Company, including ratification, revision or termination of the Related Party Transaction. The Committee shall also examine the facts and circumstances pertaining to the failure of reporting such Related Party Transaction to the Committee under this Policy, and shall take any such action it deems appropriate. </w:t>
      </w:r>
    </w:p>
    <w:p w:rsidR="00AA3D6C" w:rsidRPr="00423107" w:rsidRDefault="00AA3D6C" w:rsidP="00A66E2B">
      <w:pPr>
        <w:pStyle w:val="Default"/>
        <w:jc w:val="both"/>
        <w:rPr>
          <w:rFonts w:ascii="Book Antiqua" w:hAnsi="Book Antiqua"/>
          <w:sz w:val="22"/>
          <w:szCs w:val="22"/>
        </w:rPr>
      </w:pPr>
    </w:p>
    <w:p w:rsidR="00F13F7B" w:rsidRPr="00423107" w:rsidRDefault="00F13F7B" w:rsidP="00166393">
      <w:pPr>
        <w:pStyle w:val="Default"/>
        <w:ind w:left="360" w:right="26"/>
        <w:jc w:val="both"/>
        <w:rPr>
          <w:rFonts w:ascii="Book Antiqua" w:hAnsi="Book Antiqua"/>
          <w:sz w:val="22"/>
          <w:szCs w:val="22"/>
        </w:rPr>
      </w:pPr>
      <w:r w:rsidRPr="00423107">
        <w:rPr>
          <w:rFonts w:ascii="Book Antiqua" w:hAnsi="Book Antiqua"/>
          <w:sz w:val="22"/>
          <w:szCs w:val="22"/>
        </w:rPr>
        <w:t xml:space="preserve">This Policy will be communicated to all operational employees and other concerned persons of the Company. </w:t>
      </w:r>
    </w:p>
    <w:p w:rsidR="00557C1B" w:rsidRPr="00423107" w:rsidRDefault="00557C1B" w:rsidP="00A66E2B">
      <w:pPr>
        <w:pStyle w:val="Default"/>
        <w:jc w:val="both"/>
        <w:rPr>
          <w:rFonts w:ascii="Book Antiqua" w:hAnsi="Book Antiqua"/>
          <w:sz w:val="22"/>
          <w:szCs w:val="22"/>
        </w:rPr>
      </w:pPr>
    </w:p>
    <w:p w:rsidR="00557C1B" w:rsidRPr="00423107" w:rsidRDefault="00AA3D6C" w:rsidP="000447B5">
      <w:pPr>
        <w:pStyle w:val="Default"/>
        <w:numPr>
          <w:ilvl w:val="0"/>
          <w:numId w:val="1"/>
        </w:numPr>
        <w:jc w:val="both"/>
        <w:rPr>
          <w:rFonts w:ascii="Book Antiqua" w:hAnsi="Book Antiqua"/>
          <w:b/>
          <w:sz w:val="22"/>
          <w:szCs w:val="22"/>
          <w:u w:val="single"/>
        </w:rPr>
      </w:pPr>
      <w:r w:rsidRPr="00423107">
        <w:rPr>
          <w:rFonts w:ascii="Book Antiqua" w:hAnsi="Book Antiqua"/>
          <w:b/>
          <w:sz w:val="22"/>
          <w:szCs w:val="22"/>
          <w:u w:val="single"/>
        </w:rPr>
        <w:t>A</w:t>
      </w:r>
      <w:r w:rsidR="00557C1B" w:rsidRPr="00423107">
        <w:rPr>
          <w:rFonts w:ascii="Book Antiqua" w:hAnsi="Book Antiqua"/>
          <w:b/>
          <w:sz w:val="22"/>
          <w:szCs w:val="22"/>
          <w:u w:val="single"/>
        </w:rPr>
        <w:t>mendment:</w:t>
      </w:r>
    </w:p>
    <w:p w:rsidR="00557C1B" w:rsidRPr="00423107" w:rsidRDefault="00557C1B" w:rsidP="00A66E2B">
      <w:pPr>
        <w:pStyle w:val="Default"/>
        <w:jc w:val="both"/>
        <w:rPr>
          <w:rFonts w:ascii="Book Antiqua" w:hAnsi="Book Antiqua"/>
          <w:sz w:val="22"/>
          <w:szCs w:val="22"/>
        </w:rPr>
      </w:pPr>
    </w:p>
    <w:p w:rsidR="00557C1B" w:rsidRPr="00423107" w:rsidRDefault="00557C1B" w:rsidP="000447B5">
      <w:pPr>
        <w:pStyle w:val="Default"/>
        <w:ind w:left="360"/>
        <w:jc w:val="both"/>
        <w:rPr>
          <w:rFonts w:ascii="Book Antiqua" w:hAnsi="Book Antiqua"/>
          <w:sz w:val="22"/>
          <w:szCs w:val="22"/>
        </w:rPr>
      </w:pPr>
      <w:r w:rsidRPr="00423107">
        <w:rPr>
          <w:rFonts w:ascii="Book Antiqua" w:hAnsi="Book Antiqua"/>
          <w:sz w:val="22"/>
          <w:szCs w:val="22"/>
        </w:rPr>
        <w:t>The Board reserves its right to amend or modify this policy in whole or in part, at any time without assigning any reason whatsoever. However no such amendment or modification shall be inconsistent with the applicable provisions of the Listing Agreement, Act or any law for the time being in force.</w:t>
      </w:r>
    </w:p>
    <w:p w:rsidR="00557C1B" w:rsidRPr="006372AF" w:rsidRDefault="00557C1B" w:rsidP="00A66E2B">
      <w:pPr>
        <w:pStyle w:val="Default"/>
        <w:jc w:val="both"/>
        <w:rPr>
          <w:rFonts w:ascii="Book Antiqua" w:hAnsi="Book Antiqua"/>
          <w:sz w:val="22"/>
          <w:szCs w:val="22"/>
        </w:rPr>
      </w:pPr>
    </w:p>
    <w:p w:rsidR="00C23258" w:rsidRPr="006372AF" w:rsidRDefault="00C23258" w:rsidP="00A66E2B">
      <w:pPr>
        <w:spacing w:after="0" w:line="240" w:lineRule="auto"/>
        <w:jc w:val="both"/>
        <w:rPr>
          <w:rFonts w:ascii="Book Antiqua" w:hAnsi="Book Antiqua"/>
        </w:rPr>
      </w:pPr>
    </w:p>
    <w:sectPr w:rsidR="00C23258" w:rsidRPr="006372AF" w:rsidSect="009D19EB">
      <w:headerReference w:type="even" r:id="rId8"/>
      <w:headerReference w:type="default" r:id="rId9"/>
      <w:footerReference w:type="even" r:id="rId10"/>
      <w:footerReference w:type="default" r:id="rId11"/>
      <w:headerReference w:type="first" r:id="rId12"/>
      <w:footerReference w:type="first" r:id="rId13"/>
      <w:pgSz w:w="11906" w:h="16838"/>
      <w:pgMar w:top="630" w:right="1016" w:bottom="1440" w:left="1440" w:header="54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4C" w:rsidRDefault="00A31F4C" w:rsidP="00C02E4A">
      <w:pPr>
        <w:spacing w:after="0" w:line="240" w:lineRule="auto"/>
      </w:pPr>
      <w:r>
        <w:separator/>
      </w:r>
    </w:p>
  </w:endnote>
  <w:endnote w:type="continuationSeparator" w:id="1">
    <w:p w:rsidR="00A31F4C" w:rsidRDefault="00A31F4C" w:rsidP="00C02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93" w:rsidRDefault="00D30E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A31F4C" w:rsidP="0048489F">
    <w:pPr>
      <w:pStyle w:val="Footer"/>
      <w:tabs>
        <w:tab w:val="clear" w:pos="4680"/>
        <w:tab w:val="clear" w:pos="9360"/>
        <w:tab w:val="left" w:pos="6660"/>
      </w:tabs>
      <w:ind w:left="-72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1306"/>
      <w:docPartObj>
        <w:docPartGallery w:val="Page Numbers (Bottom of Page)"/>
        <w:docPartUnique/>
      </w:docPartObj>
    </w:sdtPr>
    <w:sdtContent>
      <w:sdt>
        <w:sdtPr>
          <w:id w:val="565050523"/>
          <w:docPartObj>
            <w:docPartGallery w:val="Page Numbers (Top of Page)"/>
            <w:docPartUnique/>
          </w:docPartObj>
        </w:sdtPr>
        <w:sdtContent>
          <w:p w:rsidR="00A31F4C" w:rsidRDefault="00A31F4C">
            <w:pPr>
              <w:pStyle w:val="Footer"/>
              <w:jc w:val="right"/>
            </w:pPr>
            <w:r>
              <w:t xml:space="preserve">Page </w:t>
            </w:r>
            <w:r w:rsidR="00D114DD">
              <w:rPr>
                <w:b/>
                <w:sz w:val="24"/>
                <w:szCs w:val="24"/>
              </w:rPr>
              <w:fldChar w:fldCharType="begin"/>
            </w:r>
            <w:r>
              <w:rPr>
                <w:b/>
              </w:rPr>
              <w:instrText xml:space="preserve"> PAGE </w:instrText>
            </w:r>
            <w:r w:rsidR="00D114DD">
              <w:rPr>
                <w:b/>
                <w:sz w:val="24"/>
                <w:szCs w:val="24"/>
              </w:rPr>
              <w:fldChar w:fldCharType="separate"/>
            </w:r>
            <w:r>
              <w:rPr>
                <w:b/>
                <w:noProof/>
              </w:rPr>
              <w:t>1</w:t>
            </w:r>
            <w:r w:rsidR="00D114DD">
              <w:rPr>
                <w:b/>
                <w:sz w:val="24"/>
                <w:szCs w:val="24"/>
              </w:rPr>
              <w:fldChar w:fldCharType="end"/>
            </w:r>
            <w:r>
              <w:t xml:space="preserve"> of </w:t>
            </w:r>
            <w:r w:rsidR="00D114DD">
              <w:rPr>
                <w:b/>
                <w:sz w:val="24"/>
                <w:szCs w:val="24"/>
              </w:rPr>
              <w:fldChar w:fldCharType="begin"/>
            </w:r>
            <w:r>
              <w:rPr>
                <w:b/>
              </w:rPr>
              <w:instrText xml:space="preserve"> NUMPAGES  </w:instrText>
            </w:r>
            <w:r w:rsidR="00D114DD">
              <w:rPr>
                <w:b/>
                <w:sz w:val="24"/>
                <w:szCs w:val="24"/>
              </w:rPr>
              <w:fldChar w:fldCharType="separate"/>
            </w:r>
            <w:r>
              <w:rPr>
                <w:b/>
                <w:noProof/>
              </w:rPr>
              <w:t>5</w:t>
            </w:r>
            <w:r w:rsidR="00D114DD">
              <w:rPr>
                <w:b/>
                <w:sz w:val="24"/>
                <w:szCs w:val="24"/>
              </w:rPr>
              <w:fldChar w:fldCharType="end"/>
            </w:r>
          </w:p>
        </w:sdtContent>
      </w:sdt>
    </w:sdtContent>
  </w:sdt>
  <w:p w:rsidR="00A31F4C" w:rsidRDefault="00A31F4C" w:rsidP="0048489F">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4C" w:rsidRDefault="00A31F4C" w:rsidP="00C02E4A">
      <w:pPr>
        <w:spacing w:after="0" w:line="240" w:lineRule="auto"/>
      </w:pPr>
      <w:r>
        <w:separator/>
      </w:r>
    </w:p>
  </w:footnote>
  <w:footnote w:type="continuationSeparator" w:id="1">
    <w:p w:rsidR="00A31F4C" w:rsidRDefault="00A31F4C" w:rsidP="00C02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D114DD">
    <w:pPr>
      <w:pStyle w:val="Header"/>
    </w:pPr>
    <w:r w:rsidRPr="00D114D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7895" o:spid="_x0000_s2051" type="#_x0000_t136" style="position:absolute;margin-left:0;margin-top:0;width:605.45pt;height:60.5pt;rotation:315;z-index:-251654144;mso-position-horizontal:center;mso-position-horizontal-relative:margin;mso-position-vertical:center;mso-position-vertical-relative:margin" o:allowincell="f" fillcolor="#7f7f7f [1612]" stroked="f">
          <v:fill opacity=".5"/>
          <v:textpath style="font-family:&quot;Calibri&quot;;font-size:1pt" string="TRC Financial Services Limited - RPT Polic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D114DD" w:rsidP="0048489F">
    <w:pPr>
      <w:pStyle w:val="Header"/>
      <w:ind w:left="-720"/>
    </w:pPr>
    <w:r w:rsidRPr="00D114D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7896" o:spid="_x0000_s2052" type="#_x0000_t136" style="position:absolute;left:0;text-align:left;margin-left:0;margin-top:0;width:605.45pt;height:60.5pt;rotation:315;z-index:-251652096;mso-position-horizontal:center;mso-position-horizontal-relative:margin;mso-position-vertical:center;mso-position-vertical-relative:margin" o:allowincell="f" fillcolor="#7f7f7f [1612]" stroked="f">
          <v:fill opacity=".5"/>
          <v:textpath style="font-family:&quot;Calibri&quot;;font-size:1pt" string="TRC Financial Services Limited - RPT Polic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A31F4C" w:rsidRDefault="00A31F4C">
        <w:pPr>
          <w:pStyle w:val="Header"/>
        </w:pPr>
        <w:r>
          <w:t>[Type text]</w:t>
        </w:r>
      </w:p>
    </w:sdtContent>
  </w:sdt>
  <w:p w:rsidR="00A31F4C" w:rsidRDefault="00D114DD" w:rsidP="0048489F">
    <w:pPr>
      <w:pStyle w:val="Header"/>
      <w:ind w:left="-720"/>
    </w:pPr>
    <w:r w:rsidRPr="00D114D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7894" o:spid="_x0000_s2050" type="#_x0000_t136" style="position:absolute;left:0;text-align:left;margin-left:0;margin-top:0;width:605.45pt;height:60.5pt;rotation:315;z-index:-251656192;mso-position-horizontal:center;mso-position-horizontal-relative:margin;mso-position-vertical:center;mso-position-vertical-relative:margin" o:allowincell="f" fillcolor="#7f7f7f [1612]" stroked="f">
          <v:fill opacity=".5"/>
          <v:textpath style="font-family:&quot;Calibri&quot;;font-size:1pt" string="TRC Financial Services Limited - RPT Polic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892"/>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2791B"/>
    <w:multiLevelType w:val="hybridMultilevel"/>
    <w:tmpl w:val="C92C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87150"/>
    <w:multiLevelType w:val="hybridMultilevel"/>
    <w:tmpl w:val="6E702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C0374"/>
    <w:multiLevelType w:val="hybridMultilevel"/>
    <w:tmpl w:val="9DA2D3E2"/>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7A65F6"/>
    <w:multiLevelType w:val="hybridMultilevel"/>
    <w:tmpl w:val="D7E611E8"/>
    <w:lvl w:ilvl="0" w:tplc="C8E6D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D5BB3"/>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10197"/>
    <w:multiLevelType w:val="hybridMultilevel"/>
    <w:tmpl w:val="580E81E8"/>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C7ADF"/>
    <w:multiLevelType w:val="hybridMultilevel"/>
    <w:tmpl w:val="2E9697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F26FB9"/>
    <w:multiLevelType w:val="hybridMultilevel"/>
    <w:tmpl w:val="B5B6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B36C3"/>
    <w:multiLevelType w:val="hybridMultilevel"/>
    <w:tmpl w:val="800A6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91D5B"/>
    <w:multiLevelType w:val="hybridMultilevel"/>
    <w:tmpl w:val="AF42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B0264"/>
    <w:multiLevelType w:val="hybridMultilevel"/>
    <w:tmpl w:val="2E468DA8"/>
    <w:lvl w:ilvl="0" w:tplc="0E72B136">
      <w:start w:val="1"/>
      <w:numFmt w:val="lowerRoman"/>
      <w:lvlText w:val=" (%1)"/>
      <w:lvlJc w:val="left"/>
      <w:pPr>
        <w:ind w:left="1440" w:hanging="360"/>
      </w:pPr>
      <w:rPr>
        <w:rFonts w:ascii="Cambria" w:hAnsi="Cambria"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743AFD"/>
    <w:multiLevelType w:val="hybridMultilevel"/>
    <w:tmpl w:val="6B42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16C96"/>
    <w:multiLevelType w:val="hybridMultilevel"/>
    <w:tmpl w:val="EDC2A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B341B"/>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90798F"/>
    <w:multiLevelType w:val="hybridMultilevel"/>
    <w:tmpl w:val="64940C0E"/>
    <w:lvl w:ilvl="0" w:tplc="D916C0F0">
      <w:start w:val="1"/>
      <w:numFmt w:val="upperLetter"/>
      <w:lvlText w:val="%1."/>
      <w:lvlJc w:val="left"/>
      <w:pPr>
        <w:ind w:left="720" w:hanging="360"/>
      </w:pPr>
      <w:rPr>
        <w:rFonts w:hint="default"/>
        <w:b/>
      </w:rPr>
    </w:lvl>
    <w:lvl w:ilvl="1" w:tplc="9170F5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94AA0"/>
    <w:multiLevelType w:val="hybridMultilevel"/>
    <w:tmpl w:val="B53C4DDE"/>
    <w:lvl w:ilvl="0" w:tplc="C7047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36B46"/>
    <w:multiLevelType w:val="hybridMultilevel"/>
    <w:tmpl w:val="84986090"/>
    <w:lvl w:ilvl="0" w:tplc="7FE62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B1285"/>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88E4A65"/>
    <w:multiLevelType w:val="hybridMultilevel"/>
    <w:tmpl w:val="81D0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A0630E"/>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F57F1"/>
    <w:multiLevelType w:val="hybridMultilevel"/>
    <w:tmpl w:val="168EA0E2"/>
    <w:lvl w:ilvl="0" w:tplc="A692E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A6C3D"/>
    <w:multiLevelType w:val="hybridMultilevel"/>
    <w:tmpl w:val="5DB43B7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771D54C2"/>
    <w:multiLevelType w:val="hybridMultilevel"/>
    <w:tmpl w:val="5C98BCCC"/>
    <w:lvl w:ilvl="0" w:tplc="F6721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22"/>
  </w:num>
  <w:num w:numId="5">
    <w:abstractNumId w:val="12"/>
  </w:num>
  <w:num w:numId="6">
    <w:abstractNumId w:val="17"/>
  </w:num>
  <w:num w:numId="7">
    <w:abstractNumId w:val="10"/>
  </w:num>
  <w:num w:numId="8">
    <w:abstractNumId w:val="8"/>
  </w:num>
  <w:num w:numId="9">
    <w:abstractNumId w:val="19"/>
  </w:num>
  <w:num w:numId="10">
    <w:abstractNumId w:val="16"/>
  </w:num>
  <w:num w:numId="11">
    <w:abstractNumId w:val="15"/>
  </w:num>
  <w:num w:numId="12">
    <w:abstractNumId w:val="11"/>
  </w:num>
  <w:num w:numId="13">
    <w:abstractNumId w:val="3"/>
  </w:num>
  <w:num w:numId="14">
    <w:abstractNumId w:val="6"/>
  </w:num>
  <w:num w:numId="15">
    <w:abstractNumId w:val="0"/>
  </w:num>
  <w:num w:numId="16">
    <w:abstractNumId w:val="2"/>
  </w:num>
  <w:num w:numId="17">
    <w:abstractNumId w:val="4"/>
  </w:num>
  <w:num w:numId="18">
    <w:abstractNumId w:val="20"/>
  </w:num>
  <w:num w:numId="19">
    <w:abstractNumId w:val="1"/>
  </w:num>
  <w:num w:numId="20">
    <w:abstractNumId w:val="23"/>
  </w:num>
  <w:num w:numId="21">
    <w:abstractNumId w:val="18"/>
  </w:num>
  <w:num w:numId="22">
    <w:abstractNumId w:val="5"/>
  </w:num>
  <w:num w:numId="23">
    <w:abstractNumId w:val="1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F13F7B"/>
    <w:rsid w:val="00000062"/>
    <w:rsid w:val="00003E65"/>
    <w:rsid w:val="0001602C"/>
    <w:rsid w:val="00043783"/>
    <w:rsid w:val="000447B5"/>
    <w:rsid w:val="000C0ED9"/>
    <w:rsid w:val="000D22FC"/>
    <w:rsid w:val="00100C51"/>
    <w:rsid w:val="00111F72"/>
    <w:rsid w:val="00120C24"/>
    <w:rsid w:val="0014323B"/>
    <w:rsid w:val="00166393"/>
    <w:rsid w:val="00182674"/>
    <w:rsid w:val="001D31E0"/>
    <w:rsid w:val="002377BD"/>
    <w:rsid w:val="0025723B"/>
    <w:rsid w:val="00261F10"/>
    <w:rsid w:val="002B6312"/>
    <w:rsid w:val="002D03E6"/>
    <w:rsid w:val="002D297F"/>
    <w:rsid w:val="002F2EF6"/>
    <w:rsid w:val="003143AC"/>
    <w:rsid w:val="00315043"/>
    <w:rsid w:val="003756A3"/>
    <w:rsid w:val="00377A85"/>
    <w:rsid w:val="00423107"/>
    <w:rsid w:val="00482F03"/>
    <w:rsid w:val="0048489F"/>
    <w:rsid w:val="00486D44"/>
    <w:rsid w:val="004911CC"/>
    <w:rsid w:val="004977E3"/>
    <w:rsid w:val="00524973"/>
    <w:rsid w:val="005271DD"/>
    <w:rsid w:val="005567DD"/>
    <w:rsid w:val="00557C1B"/>
    <w:rsid w:val="005667B0"/>
    <w:rsid w:val="006372AF"/>
    <w:rsid w:val="0069616C"/>
    <w:rsid w:val="006A2D7F"/>
    <w:rsid w:val="006B06C8"/>
    <w:rsid w:val="007043D3"/>
    <w:rsid w:val="00793290"/>
    <w:rsid w:val="007B0BFC"/>
    <w:rsid w:val="007C6FDC"/>
    <w:rsid w:val="007F7F07"/>
    <w:rsid w:val="00825A2C"/>
    <w:rsid w:val="008533D5"/>
    <w:rsid w:val="008662DB"/>
    <w:rsid w:val="0088109D"/>
    <w:rsid w:val="00885AED"/>
    <w:rsid w:val="008C7DF3"/>
    <w:rsid w:val="0090105B"/>
    <w:rsid w:val="00904F3E"/>
    <w:rsid w:val="00971986"/>
    <w:rsid w:val="009B55F7"/>
    <w:rsid w:val="009D19EB"/>
    <w:rsid w:val="009D3412"/>
    <w:rsid w:val="00A30C5F"/>
    <w:rsid w:val="00A31F4C"/>
    <w:rsid w:val="00A37B5B"/>
    <w:rsid w:val="00A422AD"/>
    <w:rsid w:val="00A50977"/>
    <w:rsid w:val="00A66E2B"/>
    <w:rsid w:val="00AA3D6C"/>
    <w:rsid w:val="00B046A3"/>
    <w:rsid w:val="00B051A9"/>
    <w:rsid w:val="00B1455B"/>
    <w:rsid w:val="00B43579"/>
    <w:rsid w:val="00B92D90"/>
    <w:rsid w:val="00BD41F5"/>
    <w:rsid w:val="00C029E5"/>
    <w:rsid w:val="00C02E4A"/>
    <w:rsid w:val="00C23258"/>
    <w:rsid w:val="00C423A5"/>
    <w:rsid w:val="00C5018D"/>
    <w:rsid w:val="00C53488"/>
    <w:rsid w:val="00C60203"/>
    <w:rsid w:val="00C60445"/>
    <w:rsid w:val="00C632A9"/>
    <w:rsid w:val="00C709D5"/>
    <w:rsid w:val="00C81AB6"/>
    <w:rsid w:val="00C83FFE"/>
    <w:rsid w:val="00CF56E9"/>
    <w:rsid w:val="00D114DD"/>
    <w:rsid w:val="00D30E93"/>
    <w:rsid w:val="00D605A5"/>
    <w:rsid w:val="00D66B15"/>
    <w:rsid w:val="00DA2E7B"/>
    <w:rsid w:val="00DC04C8"/>
    <w:rsid w:val="00DD00D4"/>
    <w:rsid w:val="00DD0416"/>
    <w:rsid w:val="00DF0A29"/>
    <w:rsid w:val="00DF31F4"/>
    <w:rsid w:val="00DF666F"/>
    <w:rsid w:val="00E3115C"/>
    <w:rsid w:val="00E43CB7"/>
    <w:rsid w:val="00E549CB"/>
    <w:rsid w:val="00E82633"/>
    <w:rsid w:val="00E92BFD"/>
    <w:rsid w:val="00EA4623"/>
    <w:rsid w:val="00F13F7B"/>
    <w:rsid w:val="00F373F6"/>
    <w:rsid w:val="00F81878"/>
    <w:rsid w:val="00FD33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F7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557C1B"/>
    <w:rPr>
      <w:sz w:val="16"/>
      <w:szCs w:val="16"/>
    </w:rPr>
  </w:style>
  <w:style w:type="paragraph" w:styleId="CommentText">
    <w:name w:val="annotation text"/>
    <w:basedOn w:val="Normal"/>
    <w:link w:val="CommentTextChar"/>
    <w:uiPriority w:val="99"/>
    <w:semiHidden/>
    <w:unhideWhenUsed/>
    <w:rsid w:val="00557C1B"/>
    <w:pPr>
      <w:spacing w:line="240" w:lineRule="auto"/>
    </w:pPr>
    <w:rPr>
      <w:sz w:val="20"/>
      <w:szCs w:val="20"/>
    </w:rPr>
  </w:style>
  <w:style w:type="character" w:customStyle="1" w:styleId="CommentTextChar">
    <w:name w:val="Comment Text Char"/>
    <w:basedOn w:val="DefaultParagraphFont"/>
    <w:link w:val="CommentText"/>
    <w:uiPriority w:val="99"/>
    <w:semiHidden/>
    <w:rsid w:val="00557C1B"/>
    <w:rPr>
      <w:sz w:val="20"/>
      <w:szCs w:val="20"/>
    </w:rPr>
  </w:style>
  <w:style w:type="paragraph" w:styleId="CommentSubject">
    <w:name w:val="annotation subject"/>
    <w:basedOn w:val="CommentText"/>
    <w:next w:val="CommentText"/>
    <w:link w:val="CommentSubjectChar"/>
    <w:uiPriority w:val="99"/>
    <w:semiHidden/>
    <w:unhideWhenUsed/>
    <w:rsid w:val="00557C1B"/>
    <w:rPr>
      <w:b/>
      <w:bCs/>
    </w:rPr>
  </w:style>
  <w:style w:type="character" w:customStyle="1" w:styleId="CommentSubjectChar">
    <w:name w:val="Comment Subject Char"/>
    <w:basedOn w:val="CommentTextChar"/>
    <w:link w:val="CommentSubject"/>
    <w:uiPriority w:val="99"/>
    <w:semiHidden/>
    <w:rsid w:val="00557C1B"/>
    <w:rPr>
      <w:b/>
      <w:bCs/>
    </w:rPr>
  </w:style>
  <w:style w:type="paragraph" w:styleId="BalloonText">
    <w:name w:val="Balloon Text"/>
    <w:basedOn w:val="Normal"/>
    <w:link w:val="BalloonTextChar"/>
    <w:uiPriority w:val="99"/>
    <w:semiHidden/>
    <w:unhideWhenUsed/>
    <w:rsid w:val="0055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C1B"/>
    <w:rPr>
      <w:rFonts w:ascii="Tahoma" w:hAnsi="Tahoma" w:cs="Tahoma"/>
      <w:sz w:val="16"/>
      <w:szCs w:val="16"/>
    </w:rPr>
  </w:style>
  <w:style w:type="paragraph" w:styleId="Header">
    <w:name w:val="header"/>
    <w:basedOn w:val="Normal"/>
    <w:link w:val="HeaderChar"/>
    <w:uiPriority w:val="99"/>
    <w:unhideWhenUsed/>
    <w:rsid w:val="00C0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A"/>
  </w:style>
  <w:style w:type="paragraph" w:styleId="Footer">
    <w:name w:val="footer"/>
    <w:basedOn w:val="Normal"/>
    <w:link w:val="FooterChar"/>
    <w:uiPriority w:val="99"/>
    <w:unhideWhenUsed/>
    <w:rsid w:val="00C0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A"/>
  </w:style>
  <w:style w:type="paragraph" w:styleId="ListParagraph">
    <w:name w:val="List Paragraph"/>
    <w:basedOn w:val="Normal"/>
    <w:uiPriority w:val="34"/>
    <w:qFormat/>
    <w:rsid w:val="00000062"/>
    <w:pPr>
      <w:ind w:left="720"/>
      <w:contextualSpacing/>
    </w:pPr>
  </w:style>
  <w:style w:type="paragraph" w:styleId="NoSpacing">
    <w:name w:val="No Spacing"/>
    <w:link w:val="NoSpacingChar"/>
    <w:uiPriority w:val="1"/>
    <w:qFormat/>
    <w:rsid w:val="004231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3107"/>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A77CB"/>
    <w:rsid w:val="001A77CB"/>
    <w:rsid w:val="00355540"/>
    <w:rsid w:val="00C02E84"/>
    <w:rsid w:val="00D11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7E6429AF7747E582E3A88233F3BDBC">
    <w:name w:val="137E6429AF7747E582E3A88233F3BDBC"/>
    <w:rsid w:val="001A77CB"/>
  </w:style>
  <w:style w:type="paragraph" w:customStyle="1" w:styleId="488B27F354EB493EB40E00C5D8A0C87F">
    <w:name w:val="488B27F354EB493EB40E00C5D8A0C87F"/>
    <w:rsid w:val="001A77CB"/>
  </w:style>
  <w:style w:type="paragraph" w:customStyle="1" w:styleId="ED52843AB2A3477FA241ED626AD6FB26">
    <w:name w:val="ED52843AB2A3477FA241ED626AD6FB26"/>
    <w:rsid w:val="001A77CB"/>
  </w:style>
  <w:style w:type="paragraph" w:customStyle="1" w:styleId="1C0F64FE0D7F44D78FCBD91EBA44B0E8">
    <w:name w:val="1C0F64FE0D7F44D78FCBD91EBA44B0E8"/>
    <w:rsid w:val="001A77CB"/>
  </w:style>
  <w:style w:type="paragraph" w:customStyle="1" w:styleId="9F9AE3F543F849BA9D6982C2852BD2B6">
    <w:name w:val="9F9AE3F543F849BA9D6982C2852BD2B6"/>
    <w:rsid w:val="001A77CB"/>
  </w:style>
  <w:style w:type="paragraph" w:customStyle="1" w:styleId="03098C9A842442C3AA4C48B29FE89EE9">
    <w:name w:val="03098C9A842442C3AA4C48B29FE89EE9"/>
    <w:rsid w:val="001A77CB"/>
  </w:style>
  <w:style w:type="paragraph" w:customStyle="1" w:styleId="BAFD06E925F641FAAA15368F500F8392">
    <w:name w:val="BAFD06E925F641FAAA15368F500F8392"/>
    <w:rsid w:val="001A77CB"/>
  </w:style>
  <w:style w:type="paragraph" w:customStyle="1" w:styleId="DCDC8507DC974AFCA78014DD959E4DDF">
    <w:name w:val="DCDC8507DC974AFCA78014DD959E4DDF"/>
    <w:rsid w:val="001A77CB"/>
  </w:style>
  <w:style w:type="paragraph" w:customStyle="1" w:styleId="B756420E07AB4BBA866900222A49EBE5">
    <w:name w:val="B756420E07AB4BBA866900222A49EBE5"/>
    <w:rsid w:val="001A77CB"/>
  </w:style>
  <w:style w:type="paragraph" w:customStyle="1" w:styleId="F1F3726CD83F49E9B194CD99CD51BBA8">
    <w:name w:val="F1F3726CD83F49E9B194CD99CD51BBA8"/>
    <w:rsid w:val="001A77CB"/>
  </w:style>
  <w:style w:type="paragraph" w:customStyle="1" w:styleId="40F76D039EDB413A85E7C4FBB182E9A7">
    <w:name w:val="40F76D039EDB413A85E7C4FBB182E9A7"/>
    <w:rsid w:val="001A77CB"/>
  </w:style>
  <w:style w:type="paragraph" w:customStyle="1" w:styleId="CDF22946AF5147C182D90504CC925414">
    <w:name w:val="CDF22946AF5147C182D90504CC925414"/>
    <w:rsid w:val="001A77CB"/>
  </w:style>
  <w:style w:type="paragraph" w:customStyle="1" w:styleId="AE98E02D97F24E7A97930BA0CA6596D3">
    <w:name w:val="AE98E02D97F24E7A97930BA0CA6596D3"/>
    <w:rsid w:val="001A77CB"/>
  </w:style>
  <w:style w:type="paragraph" w:customStyle="1" w:styleId="44226CB2115C46518D07FB26130CFE80">
    <w:name w:val="44226CB2115C46518D07FB26130CFE80"/>
    <w:rsid w:val="001A77CB"/>
  </w:style>
  <w:style w:type="paragraph" w:customStyle="1" w:styleId="2FB676F6008F4538B039D9B70162BE3F">
    <w:name w:val="2FB676F6008F4538B039D9B70162BE3F"/>
    <w:rsid w:val="001A77CB"/>
  </w:style>
  <w:style w:type="paragraph" w:customStyle="1" w:styleId="AF08153AC2F441CE859538853AB8DD25">
    <w:name w:val="AF08153AC2F441CE859538853AB8DD25"/>
    <w:rsid w:val="001A77CB"/>
  </w:style>
  <w:style w:type="paragraph" w:customStyle="1" w:styleId="7BD7BA6E40A64AB0BCC0DC1A6A470E63">
    <w:name w:val="7BD7BA6E40A64AB0BCC0DC1A6A470E63"/>
    <w:rsid w:val="001A77CB"/>
  </w:style>
  <w:style w:type="paragraph" w:customStyle="1" w:styleId="D8565922F14D4381AD6935DBC05C7B27">
    <w:name w:val="D8565922F14D4381AD6935DBC05C7B27"/>
    <w:rsid w:val="001A77CB"/>
  </w:style>
  <w:style w:type="paragraph" w:customStyle="1" w:styleId="8C652E53F3EB48AAA776EBD07B3873CB">
    <w:name w:val="8C652E53F3EB48AAA776EBD07B3873CB"/>
    <w:rsid w:val="001A77CB"/>
  </w:style>
  <w:style w:type="paragraph" w:customStyle="1" w:styleId="05FC27E99DAF42328F4CA48F11FC5706">
    <w:name w:val="05FC27E99DAF42328F4CA48F11FC5706"/>
    <w:rsid w:val="001A77CB"/>
  </w:style>
  <w:style w:type="paragraph" w:customStyle="1" w:styleId="F3A3DE15FF4C47199E3D4306882463CB">
    <w:name w:val="F3A3DE15FF4C47199E3D4306882463CB"/>
    <w:rsid w:val="001A77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F901-2BB9-434F-971C-67780C6C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Vardhman Concrete Limited</vt:lpstr>
    </vt:vector>
  </TitlesOfParts>
  <Company>VarHman concrete Limited</Company>
  <LinksUpToDate>false</LinksUpToDate>
  <CharactersWithSpaces>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Financial Services Limited</dc:title>
  <dc:subject>Policy on Related Party Transactions</dc:subject>
  <dc:creator>Pi</dc:creator>
  <cp:lastModifiedBy>PJSA</cp:lastModifiedBy>
  <cp:revision>45</cp:revision>
  <dcterms:created xsi:type="dcterms:W3CDTF">2016-01-08T09:43:00Z</dcterms:created>
  <dcterms:modified xsi:type="dcterms:W3CDTF">2016-10-16T12:38:00Z</dcterms:modified>
</cp:coreProperties>
</file>